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A7" w:rsidRPr="002F65A7" w:rsidRDefault="002F65A7" w:rsidP="00B03674">
      <w:pPr>
        <w:spacing w:after="0"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bookmarkStart w:id="0" w:name="_GoBack"/>
      <w:bookmarkEnd w:id="0"/>
    </w:p>
    <w:p w:rsidR="002F65A7" w:rsidRPr="002F65A7" w:rsidRDefault="002F65A7" w:rsidP="002F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F65A7" w:rsidRPr="002F65A7" w:rsidRDefault="002F65A7" w:rsidP="002F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БИРЮЛЬСКИЙ МУНИЦИПАЛЬНЫЙ РАЙОН</w:t>
      </w:r>
    </w:p>
    <w:p w:rsidR="002F65A7" w:rsidRPr="002F65A7" w:rsidRDefault="002F65A7" w:rsidP="002F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БИРЮЛЬСКОЕ МУНИЦИПАЛЬНОЕ ОБРАЗОВАНИЕ </w:t>
      </w:r>
    </w:p>
    <w:p w:rsidR="002F65A7" w:rsidRDefault="002F65A7" w:rsidP="002F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АДМИНИСТРАЦИЯ БИРЮЛЬСКОГО </w:t>
      </w:r>
      <w:proofErr w:type="gramStart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5A7" w:rsidRPr="002F65A7" w:rsidRDefault="002F65A7" w:rsidP="002F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2F65A7" w:rsidRPr="002F65A7" w:rsidRDefault="002F65A7" w:rsidP="002F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7" w:rsidRDefault="002F65A7" w:rsidP="002F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ПОСТАНОВЛЕНИЕ- №31</w:t>
      </w:r>
    </w:p>
    <w:p w:rsidR="002F65A7" w:rsidRDefault="002F65A7" w:rsidP="002F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7" w:rsidRPr="002F65A7" w:rsidRDefault="002F65A7" w:rsidP="002F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31.07. 2015 </w:t>
      </w: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ирюлька</w:t>
      </w:r>
      <w:proofErr w:type="spellEnd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F65A7" w:rsidRPr="002F65A7" w:rsidRDefault="002F65A7" w:rsidP="002F65A7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0"/>
        <w:tblW w:w="6267" w:type="dxa"/>
        <w:tblLook w:val="01E0" w:firstRow="1" w:lastRow="1" w:firstColumn="1" w:lastColumn="1" w:noHBand="0" w:noVBand="0"/>
      </w:tblPr>
      <w:tblGrid>
        <w:gridCol w:w="6267"/>
      </w:tblGrid>
      <w:tr w:rsidR="002F65A7" w:rsidRPr="002F65A7" w:rsidTr="00CE0698">
        <w:tc>
          <w:tcPr>
            <w:tcW w:w="6267" w:type="dxa"/>
          </w:tcPr>
          <w:p w:rsidR="002F65A7" w:rsidRPr="002F65A7" w:rsidRDefault="002F65A7" w:rsidP="002F65A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Об утверждении  Генеральной схемы        </w:t>
            </w:r>
          </w:p>
          <w:p w:rsidR="002F65A7" w:rsidRDefault="002F65A7" w:rsidP="002F65A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санитарной очистки территории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2F65A7" w:rsidRPr="002F65A7" w:rsidRDefault="002F65A7" w:rsidP="002F65A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2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Бирюльского  сельского поселения  </w:t>
            </w:r>
          </w:p>
          <w:p w:rsidR="002F65A7" w:rsidRPr="002F65A7" w:rsidRDefault="002F65A7" w:rsidP="002F65A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65A7" w:rsidRPr="002F65A7" w:rsidRDefault="002F65A7" w:rsidP="002F65A7">
      <w:pPr>
        <w:spacing w:after="0" w:line="240" w:lineRule="auto"/>
        <w:jc w:val="both"/>
        <w:rPr>
          <w:rFonts w:ascii="Journal" w:eastAsia="Times New Roman" w:hAnsi="Journal" w:cs="Times New Roman"/>
          <w:smallCaps/>
          <w:sz w:val="16"/>
          <w:szCs w:val="20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tbl>
      <w:tblPr>
        <w:tblpPr w:leftFromText="180" w:rightFromText="180" w:vertAnchor="text" w:horzAnchor="margin" w:tblpXSpec="center" w:tblpY="94"/>
        <w:tblW w:w="0" w:type="auto"/>
        <w:tblLayout w:type="fixed"/>
        <w:tblLook w:val="0000" w:firstRow="0" w:lastRow="0" w:firstColumn="0" w:lastColumn="0" w:noHBand="0" w:noVBand="0"/>
      </w:tblPr>
      <w:tblGrid>
        <w:gridCol w:w="4268"/>
        <w:gridCol w:w="2253"/>
        <w:gridCol w:w="3544"/>
      </w:tblGrid>
      <w:tr w:rsidR="002F65A7" w:rsidRPr="002F65A7" w:rsidTr="00CE0698">
        <w:trPr>
          <w:trHeight w:val="217"/>
        </w:trPr>
        <w:tc>
          <w:tcPr>
            <w:tcW w:w="4268" w:type="dxa"/>
          </w:tcPr>
          <w:p w:rsidR="002F65A7" w:rsidRPr="002F65A7" w:rsidRDefault="002F65A7" w:rsidP="0072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</w:tcPr>
          <w:p w:rsidR="002F65A7" w:rsidRPr="002F65A7" w:rsidRDefault="002F65A7" w:rsidP="002F65A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F65A7" w:rsidRPr="002F65A7" w:rsidRDefault="002F65A7" w:rsidP="002F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7" w:rsidRPr="002F65A7" w:rsidRDefault="002F65A7" w:rsidP="00723CD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Федеральными законами </w:t>
      </w:r>
      <w:r w:rsidR="0072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№131-ФЗ «Об общих </w:t>
      </w: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</w:t>
      </w:r>
      <w:r w:rsidR="0072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24.06.1998 № 89-ФЗ «Об отходах производства и потребления», от </w:t>
      </w:r>
      <w:r w:rsidR="00723CDF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10.01.2002 №</w:t>
      </w: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«Об охране окружающей среды», постановлением Госстроя РФ от 21.08.2003 № 152, Уставом Бирюльского  сельского поселения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7" w:rsidRPr="002F65A7" w:rsidRDefault="002F65A7" w:rsidP="002F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ПОСТАНОВЛЯЕТ: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Генеральную схему санитарной очистки территории Бирюльского сельского поселения. </w:t>
      </w:r>
    </w:p>
    <w:p w:rsidR="002F65A7" w:rsidRPr="002F65A7" w:rsidRDefault="002F65A7" w:rsidP="002F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proofErr w:type="gramStart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в печатном органе «Вести Бирюльки» на </w:t>
      </w:r>
      <w:hyperlink r:id="rId6" w:history="1">
        <w:r w:rsidRPr="002F65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Бирюльского сельского поселения  в  телекоммуникационной сети "Интернет" </w:t>
      </w:r>
    </w:p>
    <w:p w:rsidR="002F65A7" w:rsidRPr="002F65A7" w:rsidRDefault="002F65A7" w:rsidP="002F65A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2F65A7" w:rsidRPr="002F65A7" w:rsidRDefault="002F65A7" w:rsidP="002F65A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2F65A7" w:rsidRDefault="002F65A7" w:rsidP="002F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7" w:rsidRDefault="002F65A7" w:rsidP="002F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7" w:rsidRDefault="002F65A7" w:rsidP="002F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Бирюльского</w:t>
      </w:r>
    </w:p>
    <w:p w:rsidR="002F65A7" w:rsidRPr="002F65A7" w:rsidRDefault="002F65A7" w:rsidP="002F65A7">
      <w:pPr>
        <w:tabs>
          <w:tab w:val="left" w:pos="623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Будревич А.Ю.</w:t>
      </w:r>
    </w:p>
    <w:p w:rsidR="002F65A7" w:rsidRDefault="002F65A7" w:rsidP="00723C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2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03674" w:rsidRDefault="00B03674" w:rsidP="00723C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74" w:rsidRDefault="00B03674" w:rsidP="00723C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74" w:rsidRPr="002F65A7" w:rsidRDefault="00B03674" w:rsidP="00723C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7" w:rsidRPr="002F65A7" w:rsidRDefault="002F65A7" w:rsidP="002F65A7">
      <w:pPr>
        <w:keepNext/>
        <w:spacing w:after="0" w:line="240" w:lineRule="auto"/>
        <w:ind w:left="709" w:right="-1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                     </w: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2F65A7" w:rsidRPr="002F65A7" w:rsidRDefault="002F65A7" w:rsidP="002F65A7">
      <w:pPr>
        <w:keepNext/>
        <w:spacing w:after="0" w:line="240" w:lineRule="auto"/>
        <w:ind w:left="5103" w:right="-1" w:hanging="4394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администрации Бирюльского </w:t>
      </w:r>
    </w:p>
    <w:p w:rsidR="002F65A7" w:rsidRPr="002F65A7" w:rsidRDefault="002F65A7" w:rsidP="002F65A7">
      <w:pPr>
        <w:keepNext/>
        <w:spacing w:after="0" w:line="240" w:lineRule="auto"/>
        <w:ind w:left="5103" w:right="-1" w:hanging="4394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                                                                                                                                                                                                                             от __.__.201_г. №__</w:t>
      </w:r>
    </w:p>
    <w:p w:rsidR="002F65A7" w:rsidRPr="002F65A7" w:rsidRDefault="002F65A7" w:rsidP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F65A7" w:rsidRPr="002F65A7" w:rsidRDefault="002F65A7" w:rsidP="002F65A7">
      <w:pPr>
        <w:keepNext/>
        <w:spacing w:after="0" w:line="240" w:lineRule="auto"/>
        <w:ind w:left="709"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ГЕНЕРАЛЬНАЯ СХЕМА  </w:t>
      </w:r>
    </w:p>
    <w:p w:rsidR="002F65A7" w:rsidRPr="002F65A7" w:rsidRDefault="002F65A7" w:rsidP="002F65A7">
      <w:pPr>
        <w:keepNext/>
        <w:spacing w:after="0" w:line="240" w:lineRule="auto"/>
        <w:ind w:left="709"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санитарной очистки территории </w:t>
      </w:r>
    </w:p>
    <w:p w:rsidR="002F65A7" w:rsidRPr="002F65A7" w:rsidRDefault="002F65A7" w:rsidP="00723CDF">
      <w:pPr>
        <w:keepNext/>
        <w:spacing w:after="0" w:line="240" w:lineRule="auto"/>
        <w:ind w:left="709"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Бирюльского сельского поселения </w:t>
      </w:r>
    </w:p>
    <w:p w:rsidR="002F65A7" w:rsidRPr="002F65A7" w:rsidRDefault="002F65A7" w:rsidP="002F6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1.ОСНОВАНИЕ ДЛЯ РАЗРАБОТКИ ГЕНЕРАЛЬНОЙ СХЕМЫ ОЧИСТКИ ТЕРРИТОРИИ                                  БИРЮЛЬСКОГО СЕЛЬСКОГО ПОСЕЛЕНИЯ </w:t>
      </w:r>
    </w:p>
    <w:p w:rsidR="002F65A7" w:rsidRPr="002F65A7" w:rsidRDefault="002F65A7" w:rsidP="002F65A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2F65A7" w:rsidRPr="002F65A7" w:rsidRDefault="002F65A7" w:rsidP="002F65A7">
      <w:pPr>
        <w:shd w:val="clear" w:color="auto" w:fill="FFFFFF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схема является программным документом, который определяет направление развития данной сферы деятельности на территории  Бирюльского сельского поселения, дает объективную оценку и возможность принятия руководителями органов местного самоуправления Бирюльского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2F65A7" w:rsidRPr="002F65A7" w:rsidRDefault="002F65A7" w:rsidP="002F65A7">
      <w:pPr>
        <w:shd w:val="clear" w:color="auto" w:fill="FFFFFF"/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2F65A7" w:rsidRPr="002F65A7" w:rsidRDefault="002F65A7" w:rsidP="002F65A7">
      <w:pPr>
        <w:shd w:val="clear" w:color="auto" w:fill="FFFFFF"/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</w:t>
      </w:r>
    </w:p>
    <w:p w:rsidR="002F65A7" w:rsidRPr="002F65A7" w:rsidRDefault="002F65A7" w:rsidP="002F65A7">
      <w:pPr>
        <w:autoSpaceDE w:val="0"/>
        <w:autoSpaceDN w:val="0"/>
        <w:adjustRightInd w:val="0"/>
        <w:spacing w:after="0" w:line="240" w:lineRule="auto"/>
        <w:ind w:left="709"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2F65A7" w:rsidRPr="002F65A7" w:rsidRDefault="002F65A7" w:rsidP="002F65A7">
      <w:pPr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2F65A7" w:rsidRPr="002F65A7" w:rsidRDefault="002F65A7" w:rsidP="002F65A7">
      <w:pPr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</w:t>
      </w:r>
    </w:p>
    <w:p w:rsidR="002F65A7" w:rsidRPr="002F65A7" w:rsidRDefault="002F65A7" w:rsidP="002F65A7">
      <w:pPr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КРАТКАЯ ХАРАКТЕРИСТИКА  БИРЮЛЬСКОГО СЕЛЬСКОГО ПОСЕЛЕНИЯ </w:t>
      </w:r>
    </w:p>
    <w:p w:rsidR="002F65A7" w:rsidRPr="002F65A7" w:rsidRDefault="002F65A7" w:rsidP="002F65A7">
      <w:pPr>
        <w:shd w:val="clear" w:color="auto" w:fill="FFFFFF"/>
        <w:tabs>
          <w:tab w:val="left" w:pos="10206"/>
        </w:tabs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Бирюльское сельское поселение расположено в центральной части Качугского  </w:t>
      </w:r>
    </w:p>
    <w:p w:rsidR="002F65A7" w:rsidRPr="002F65A7" w:rsidRDefault="002F65A7" w:rsidP="002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области. В состав территории Бирюльского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65A7" w:rsidRPr="002F65A7" w:rsidRDefault="002F65A7" w:rsidP="002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входят земли следующих населенных пунктов: д.  Большой Косогол,    </w:t>
      </w:r>
    </w:p>
    <w:p w:rsidR="002F65A7" w:rsidRPr="002F65A7" w:rsidRDefault="002F65A7" w:rsidP="002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Малая Тарель, д. Чемякина, д. Подкамень, д.Кукуй,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акрушина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д.Юшина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2F65A7" w:rsidRPr="002F65A7" w:rsidRDefault="002F65A7" w:rsidP="002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ирюлька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5A7" w:rsidRPr="002F65A7" w:rsidRDefault="002F65A7" w:rsidP="002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на западе граничит с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Харбатовским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5A7" w:rsidRPr="002F65A7" w:rsidRDefault="002F65A7" w:rsidP="002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образованием. На северо-западе граничит с Качугским МО, на севере с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Ангинским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65A7" w:rsidRPr="002F65A7" w:rsidRDefault="002F65A7" w:rsidP="002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Залогским муниципальными образованиями. С юга граничит с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Манзурским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 </w:t>
      </w:r>
    </w:p>
    <w:p w:rsidR="002F65A7" w:rsidRPr="002F65A7" w:rsidRDefault="002F65A7" w:rsidP="002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востоке с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Большетарельским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образованием.</w:t>
      </w:r>
    </w:p>
    <w:p w:rsidR="002F65A7" w:rsidRPr="002F65A7" w:rsidRDefault="002F65A7" w:rsidP="002F65A7">
      <w:pPr>
        <w:spacing w:before="120" w:after="120" w:line="288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численность населения муниципального образования, по состоянию на 01.01.2012 г., – 1486 человек.</w:t>
      </w:r>
    </w:p>
    <w:p w:rsidR="002F65A7" w:rsidRPr="002F65A7" w:rsidRDefault="002F65A7" w:rsidP="002F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keepNext/>
        <w:spacing w:before="240" w:after="12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Таблица </w: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SEQ Таблица \* ARABIC </w:instrTex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2F65A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</w: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Административно-территориальное устройство Бирюльского   </w:t>
      </w:r>
    </w:p>
    <w:p w:rsidR="002F65A7" w:rsidRPr="002F65A7" w:rsidRDefault="002F65A7" w:rsidP="002F65A7">
      <w:pPr>
        <w:keepNext/>
        <w:spacing w:before="240" w:after="12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Муниципального образования (сельского поселения)  </w:t>
      </w:r>
    </w:p>
    <w:p w:rsidR="002F65A7" w:rsidRPr="002F65A7" w:rsidRDefault="002F65A7" w:rsidP="002F65A7">
      <w:pPr>
        <w:keepNext/>
        <w:spacing w:before="240" w:after="12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Иркутской области</w:t>
      </w:r>
    </w:p>
    <w:tbl>
      <w:tblPr>
        <w:tblW w:w="0" w:type="auto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2F65A7" w:rsidRPr="002F65A7" w:rsidTr="00CE0698">
        <w:trPr>
          <w:tblHeader/>
        </w:trPr>
        <w:tc>
          <w:tcPr>
            <w:tcW w:w="2393" w:type="dxa"/>
            <w:shd w:val="clear" w:color="auto" w:fill="E0E0E0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</w:t>
            </w:r>
          </w:p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единицы</w:t>
            </w:r>
          </w:p>
        </w:tc>
        <w:tc>
          <w:tcPr>
            <w:tcW w:w="2393" w:type="dxa"/>
            <w:shd w:val="clear" w:color="auto" w:fill="E0E0E0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единицы (населенные пункты)</w:t>
            </w:r>
          </w:p>
        </w:tc>
        <w:tc>
          <w:tcPr>
            <w:tcW w:w="2393" w:type="dxa"/>
            <w:shd w:val="clear" w:color="auto" w:fill="E0E0E0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жителей,</w:t>
            </w:r>
          </w:p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F65A7" w:rsidRPr="002F65A7" w:rsidTr="00CE0698">
        <w:tc>
          <w:tcPr>
            <w:tcW w:w="2393" w:type="dxa"/>
            <w:vMerge w:val="restart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БИРЮЛЬСКОЕ муниципальное образование (сельского поселения)</w:t>
            </w: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Бирюлька </w:t>
            </w:r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д.Кукуй</w:t>
            </w:r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акрушина</w:t>
            </w:r>
            <w:proofErr w:type="spellEnd"/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</w:t>
            </w:r>
            <w:proofErr w:type="spellEnd"/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одкамень</w:t>
            </w:r>
            <w:proofErr w:type="spellEnd"/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</w:t>
            </w:r>
            <w:proofErr w:type="spell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Тарель</w:t>
            </w:r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Косогол</w:t>
            </w:r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Д.Чемякина</w:t>
            </w:r>
            <w:proofErr w:type="spellEnd"/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7" w:rsidRPr="002F65A7" w:rsidTr="00CE0698">
        <w:tc>
          <w:tcPr>
            <w:tcW w:w="2393" w:type="dxa"/>
            <w:vMerge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5A7" w:rsidRPr="002F65A7" w:rsidRDefault="002F65A7" w:rsidP="002F6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  <w:vAlign w:val="center"/>
          </w:tcPr>
          <w:p w:rsidR="002F65A7" w:rsidRPr="002F65A7" w:rsidRDefault="002F65A7" w:rsidP="002F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</w:tr>
    </w:tbl>
    <w:p w:rsidR="002F65A7" w:rsidRPr="002F65A7" w:rsidRDefault="002F65A7" w:rsidP="002F65A7">
      <w:pPr>
        <w:spacing w:before="120" w:after="12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before="120" w:after="12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Сообщение с районным центром осуществляется по автодорогам областного и    местного значения. В поселении имеется 458 личных подсобных хозяйства, в которых содержится 550 голов КРС. Жители поселения излишки молока сдают на молокоприемный пункт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Качуг.</w:t>
      </w:r>
    </w:p>
    <w:p w:rsidR="002F65A7" w:rsidRPr="002F65A7" w:rsidRDefault="002F65A7" w:rsidP="002F65A7">
      <w:pPr>
        <w:spacing w:before="120" w:after="12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уровня развития Бирюльского муниципального образования        </w:t>
      </w:r>
    </w:p>
    <w:p w:rsidR="002F65A7" w:rsidRPr="002F65A7" w:rsidRDefault="002F65A7" w:rsidP="002F65A7">
      <w:pPr>
        <w:spacing w:before="120" w:after="12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2.</w:t>
      </w:r>
    </w:p>
    <w:p w:rsidR="002F65A7" w:rsidRPr="002F65A7" w:rsidRDefault="002F65A7" w:rsidP="002F65A7">
      <w:pPr>
        <w:keepNext/>
        <w:spacing w:before="240" w:after="12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Ref333072784"/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SEQ Таблица \* ARABIC </w:instrTex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2F65A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bookmarkEnd w:id="1"/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Уровень развития Муниципального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71"/>
        <w:gridCol w:w="2205"/>
        <w:gridCol w:w="1931"/>
        <w:gridCol w:w="2013"/>
      </w:tblGrid>
      <w:tr w:rsidR="002F65A7" w:rsidRPr="002F65A7" w:rsidTr="00CE0698">
        <w:trPr>
          <w:trHeight w:val="811"/>
          <w:tblHeader/>
        </w:trPr>
        <w:tc>
          <w:tcPr>
            <w:tcW w:w="288" w:type="pct"/>
            <w:shd w:val="clear" w:color="auto" w:fill="E0E0E0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6" w:type="pct"/>
            <w:shd w:val="clear" w:color="auto" w:fill="E0E0E0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3" w:type="pct"/>
            <w:shd w:val="clear" w:color="auto" w:fill="E0E0E0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БИРЮЛЬСКОЕ муниципальное образование (сельское поселение)</w:t>
            </w:r>
          </w:p>
        </w:tc>
        <w:tc>
          <w:tcPr>
            <w:tcW w:w="966" w:type="pct"/>
            <w:shd w:val="clear" w:color="auto" w:fill="E0E0E0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среднем по району</w:t>
            </w:r>
          </w:p>
        </w:tc>
        <w:tc>
          <w:tcPr>
            <w:tcW w:w="1007" w:type="pct"/>
            <w:shd w:val="clear" w:color="auto" w:fill="E0E0E0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вес в </w:t>
            </w:r>
            <w:proofErr w:type="spellStart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среднерайонных</w:t>
            </w:r>
            <w:proofErr w:type="spellEnd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показателях, %</w:t>
            </w:r>
          </w:p>
        </w:tc>
      </w:tr>
      <w:tr w:rsidR="002F65A7" w:rsidRPr="002F65A7" w:rsidTr="00CE0698">
        <w:trPr>
          <w:trHeight w:val="465"/>
        </w:trPr>
        <w:tc>
          <w:tcPr>
            <w:tcW w:w="288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работающих, чел.</w:t>
            </w:r>
          </w:p>
        </w:tc>
        <w:tc>
          <w:tcPr>
            <w:tcW w:w="1103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6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</w:t>
            </w:r>
          </w:p>
        </w:tc>
        <w:tc>
          <w:tcPr>
            <w:tcW w:w="1007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2F65A7" w:rsidRPr="002F65A7" w:rsidTr="00CE0698">
        <w:trPr>
          <w:trHeight w:val="431"/>
        </w:trPr>
        <w:tc>
          <w:tcPr>
            <w:tcW w:w="288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малых предприятий на 1000 жителей</w:t>
            </w:r>
          </w:p>
        </w:tc>
        <w:tc>
          <w:tcPr>
            <w:tcW w:w="1103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07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65A7" w:rsidRPr="002F65A7" w:rsidTr="00CE0698">
        <w:trPr>
          <w:trHeight w:val="411"/>
        </w:trPr>
        <w:tc>
          <w:tcPr>
            <w:tcW w:w="288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Среднемесячная заработная </w:t>
            </w: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плата, руб.</w:t>
            </w:r>
          </w:p>
        </w:tc>
        <w:tc>
          <w:tcPr>
            <w:tcW w:w="1103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5332</w:t>
            </w:r>
          </w:p>
        </w:tc>
        <w:tc>
          <w:tcPr>
            <w:tcW w:w="966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8244</w:t>
            </w:r>
          </w:p>
        </w:tc>
        <w:tc>
          <w:tcPr>
            <w:tcW w:w="1007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2F65A7" w:rsidRPr="002F65A7" w:rsidTr="00CE0698">
        <w:trPr>
          <w:trHeight w:val="451"/>
        </w:trPr>
        <w:tc>
          <w:tcPr>
            <w:tcW w:w="288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36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безработицы, %</w:t>
            </w:r>
          </w:p>
        </w:tc>
        <w:tc>
          <w:tcPr>
            <w:tcW w:w="1103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66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7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F65A7" w:rsidRPr="002F65A7" w:rsidTr="00CE0698">
        <w:trPr>
          <w:trHeight w:val="515"/>
        </w:trPr>
        <w:tc>
          <w:tcPr>
            <w:tcW w:w="288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pct"/>
            <w:vAlign w:val="center"/>
          </w:tcPr>
          <w:p w:rsidR="002F65A7" w:rsidRPr="002F65A7" w:rsidRDefault="002F65A7" w:rsidP="002F65A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жилища на 1 жителя, </w:t>
            </w:r>
            <w:proofErr w:type="spellStart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3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66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07" w:type="pct"/>
            <w:vAlign w:val="center"/>
          </w:tcPr>
          <w:p w:rsidR="002F65A7" w:rsidRPr="002F65A7" w:rsidRDefault="002F65A7" w:rsidP="002F65A7">
            <w:pPr>
              <w:spacing w:after="0" w:line="240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</w:tbl>
    <w:p w:rsidR="002F65A7" w:rsidRPr="002F65A7" w:rsidRDefault="002F65A7" w:rsidP="00723CDF">
      <w:pPr>
        <w:spacing w:before="120" w:after="12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данных, представленных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_Ref333072784 \h  \* MERGEFORMAT </w:instrText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сказать, что основные показатели муниципального образования соответствуют среднему районному уровню. Устойчивое социально-экономическое развитие Поселения предполагает: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-существенный прогресс в развитии основных секторов экономики, создание новых рабочих мест;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-новое жилищное строительство, в том числе строительство служебного жилья;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современных инженерных систем и улучшение транспортного обслуживания;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-бережное использование природных ресурсов;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среды благоприятной для жизни и отдыха населения;</w:t>
      </w:r>
    </w:p>
    <w:p w:rsidR="002F65A7" w:rsidRPr="002F65A7" w:rsidRDefault="002F65A7" w:rsidP="00723C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репутации Поселения как части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Рамешковского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экологически привлекательной, комфортной для проживания и открытой для инвестиций.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устойчивого социально-экономического развития Поселения: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уровня жизни населения;</w:t>
      </w:r>
    </w:p>
    <w:p w:rsidR="002F65A7" w:rsidRPr="002F65A7" w:rsidRDefault="002F65A7" w:rsidP="00723C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сохранение и приумножение природных ресурсов для будущих поколений.</w:t>
      </w:r>
    </w:p>
    <w:p w:rsidR="002F65A7" w:rsidRPr="002F65A7" w:rsidRDefault="002F65A7" w:rsidP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F65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Генеральная схема очистки территории Бирюльского сельского поселения </w:t>
      </w:r>
    </w:p>
    <w:p w:rsidR="002F65A7" w:rsidRPr="002F65A7" w:rsidRDefault="002F65A7" w:rsidP="002F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A7">
        <w:rPr>
          <w:rFonts w:ascii="Times New Roman" w:eastAsia="Times New Roman" w:hAnsi="Times New Roman" w:cs="Times New Roman"/>
          <w:sz w:val="24"/>
          <w:szCs w:val="24"/>
        </w:rPr>
        <w:t xml:space="preserve">         Выделяются следующие этапы обращения с отходами: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</w:rPr>
        <w:t>- образование (жилые и административные здания, школа, детский сад, магазины, ДК, и т.д.);</w:t>
      </w:r>
      <w:proofErr w:type="gramEnd"/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A7">
        <w:rPr>
          <w:rFonts w:ascii="Times New Roman" w:eastAsia="Times New Roman" w:hAnsi="Times New Roman" w:cs="Times New Roman"/>
          <w:sz w:val="24"/>
          <w:szCs w:val="24"/>
        </w:rPr>
        <w:t>- сбор (транспортировка отходов к местам накопления отходов);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A7">
        <w:rPr>
          <w:rFonts w:ascii="Times New Roman" w:eastAsia="Times New Roman" w:hAnsi="Times New Roman" w:cs="Times New Roman"/>
          <w:sz w:val="24"/>
          <w:szCs w:val="24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A7">
        <w:rPr>
          <w:rFonts w:ascii="Times New Roman" w:eastAsia="Times New Roman" w:hAnsi="Times New Roman" w:cs="Times New Roman"/>
          <w:sz w:val="24"/>
          <w:szCs w:val="24"/>
        </w:rPr>
        <w:t>- размещение.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A7">
        <w:rPr>
          <w:rFonts w:ascii="Times New Roman" w:eastAsia="Times New Roman" w:hAnsi="Times New Roman" w:cs="Times New Roman"/>
          <w:sz w:val="24"/>
          <w:szCs w:val="24"/>
        </w:rPr>
        <w:t>Необходимыми мерами по улучшению санитарного состояния Бирюльского сельского поселения будут являться: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A7">
        <w:rPr>
          <w:rFonts w:ascii="Times New Roman" w:eastAsia="Times New Roman" w:hAnsi="Times New Roman" w:cs="Times New Roman"/>
          <w:sz w:val="24"/>
          <w:szCs w:val="24"/>
        </w:rPr>
        <w:t>- разработка, утверждение и реализация генеральной схемы санитарной очистки поселения;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A7">
        <w:rPr>
          <w:rFonts w:ascii="Times New Roman" w:eastAsia="Times New Roman" w:hAnsi="Times New Roman" w:cs="Times New Roman"/>
          <w:sz w:val="24"/>
          <w:szCs w:val="24"/>
        </w:rPr>
        <w:t>- ликвидация несанкционированных свалок;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A7">
        <w:rPr>
          <w:rFonts w:ascii="Times New Roman" w:eastAsia="Times New Roman" w:hAnsi="Times New Roman" w:cs="Times New Roman"/>
          <w:sz w:val="24"/>
          <w:szCs w:val="24"/>
        </w:rPr>
        <w:t xml:space="preserve">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 бытовых отходов, утвержденных администрацией Бирюльского сельского поселения. 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2.07.01-89* «Градостроительство. Планировка и застройки городских и сельских поселений»;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  Российской Федерации по охране окружающей среды в 1999г.;</w:t>
      </w:r>
    </w:p>
    <w:p w:rsidR="002F65A7" w:rsidRPr="002F65A7" w:rsidRDefault="002F65A7" w:rsidP="002F65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Минжилхозом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30.05.8 г. № 85-191-1.                                            </w:t>
      </w:r>
    </w:p>
    <w:p w:rsidR="002F65A7" w:rsidRPr="002F65A7" w:rsidRDefault="002F65A7" w:rsidP="002F65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Таблица 3</w:t>
      </w:r>
    </w:p>
    <w:tbl>
      <w:tblPr>
        <w:tblW w:w="9072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126"/>
        <w:gridCol w:w="1185"/>
        <w:gridCol w:w="2421"/>
        <w:gridCol w:w="1482"/>
        <w:gridCol w:w="1483"/>
      </w:tblGrid>
      <w:tr w:rsidR="002F65A7" w:rsidRPr="002F65A7" w:rsidTr="00CE0698">
        <w:trPr>
          <w:tblCellSpacing w:w="0" w:type="dxa"/>
        </w:trPr>
        <w:tc>
          <w:tcPr>
            <w:tcW w:w="22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Источник образования отходов</w:t>
            </w:r>
          </w:p>
        </w:tc>
        <w:tc>
          <w:tcPr>
            <w:tcW w:w="3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Среднегодовая норма образования и накопления</w:t>
            </w:r>
          </w:p>
        </w:tc>
        <w:tc>
          <w:tcPr>
            <w:tcW w:w="3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Предлагаемые нормы образования и накопления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22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5A7" w:rsidRPr="002F65A7" w:rsidRDefault="002F65A7" w:rsidP="002F65A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норма накопления ТБО по благоустроенным жилым домам, с населением до 10  </w:t>
            </w:r>
            <w:proofErr w:type="spell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0,18 на 1 жителя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(почтовое отделение, административные  учреждения, библиотека, ДК)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Бирюльская  СОШ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на 1 учащегося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 на 1    учащегося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на 1 учащегося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 на 1 учащегося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на 1 м². площади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 на 1 кв. м. площади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56*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0,20*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Фельдшерско-акушерские пункты, офис врача общей практики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120гр на 1 посещение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0,7 на 1 посещение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60** на 1 посещение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0,20** на 1 посещение</w:t>
            </w:r>
          </w:p>
        </w:tc>
      </w:tr>
    </w:tbl>
    <w:p w:rsidR="002F65A7" w:rsidRPr="002F65A7" w:rsidRDefault="002F65A7" w:rsidP="00723C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F65A7" w:rsidRPr="002F65A7" w:rsidRDefault="002F65A7" w:rsidP="00723C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-5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F6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F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СУЩЕСТВУЮЩЕГО СОСТОЯНИЯ САНИТАРНОЙ ОЧИСТКИ ТЕРРИТОРИИ </w:t>
      </w:r>
      <w:r w:rsidRPr="002F65A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БИРЮЛЬСКОГО СЕЛЬСКОГО ПОСЕЛЕНИЯ </w:t>
      </w: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систем утилизации ТБО показал, что Поселение испытывает большие трудности по организации вывоза мусора. Это касается и жилых зон индустриальных населенных пунктов, и прибрежных территорий и мест массового отдыха неорганизованных местных жителей. Следствием отсутствия внятной программы сбора и утилизации ТБО являются повсеместно </w:t>
      </w:r>
      <w:r w:rsidRPr="002F65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существующие несанкционированные свалки.</w:t>
      </w:r>
    </w:p>
    <w:p w:rsidR="002F65A7" w:rsidRPr="002F65A7" w:rsidRDefault="002F65A7" w:rsidP="00723CDF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несанкционированная свалка организована (на выезде)  по правой стороне дороги в д. Малая Тарель из села Бирюлька  </w:t>
      </w:r>
    </w:p>
    <w:p w:rsidR="002F65A7" w:rsidRPr="002F65A7" w:rsidRDefault="002F65A7" w:rsidP="00723CDF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Обеспечение чистоты и порядка на территории Бирюльского сельского поселения </w:t>
      </w:r>
    </w:p>
    <w:p w:rsidR="002F65A7" w:rsidRPr="002F65A7" w:rsidRDefault="002F65A7" w:rsidP="002F65A7">
      <w:pPr>
        <w:spacing w:after="0" w:line="240" w:lineRule="auto"/>
        <w:ind w:left="709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действуют «Нормы и правила по   благоустройству территории муниципального образования Бирюльского сельского поселения», которые устанавливает порядок содержания и организации уборки территорий поселения, включая прилегающие к границам зданий, строений, сооружений и ограждений. Все юридические и физические лица, в т. ч. и индивидуальные предприниматели, расположенные или осуществляющие свою деятельность на территории Бирюльского сельского поселения, независимо от форм </w:t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и ведомственной принадлежности, должностные лица и граждане обязаны выполнять определенные требования.</w:t>
      </w:r>
    </w:p>
    <w:p w:rsidR="002F65A7" w:rsidRPr="002F65A7" w:rsidRDefault="002F65A7" w:rsidP="002F65A7">
      <w:pPr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 сельского поселения закреплена за предприятиями, учреждениями, организациями независимо от организационно-правовых форм и физическими лицами для регулярной или периодической уборки и 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соблюдением чистоты и порядка. </w:t>
      </w:r>
    </w:p>
    <w:p w:rsidR="002F65A7" w:rsidRPr="002F65A7" w:rsidRDefault="002F65A7" w:rsidP="002F65A7">
      <w:pPr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санитарной очистки и уборки территорий должна предусматривать рациональный сбор, быстрое удаление бытовых отходов (хозяйственно – бытовых), в том числе пищевых отходов из жилых и общественных зданий, предприятий торговли, общественного питания и культурно - бытового назначения; жидких - из зданий, не оборудованных системой канализации; уличного мусора и других бытовых отходов. </w:t>
      </w:r>
    </w:p>
    <w:p w:rsidR="002F65A7" w:rsidRPr="002F65A7" w:rsidRDefault="002F65A7" w:rsidP="002F65A7">
      <w:pPr>
        <w:spacing w:after="0" w:line="240" w:lineRule="auto"/>
        <w:ind w:left="709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уборка улиц, тротуаров и дорог заключается в своевременном удалении свежевыпавшего, а также уплотненного снега и наледи. </w:t>
      </w:r>
    </w:p>
    <w:p w:rsidR="002F65A7" w:rsidRPr="002F65A7" w:rsidRDefault="002F65A7" w:rsidP="002F65A7">
      <w:pPr>
        <w:spacing w:after="0" w:line="240" w:lineRule="auto"/>
        <w:ind w:left="709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уборка включает сбор мусора на 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 уборке устанавливается администрацией  сельского поселения. </w:t>
      </w:r>
    </w:p>
    <w:p w:rsidR="002F65A7" w:rsidRPr="002F65A7" w:rsidRDefault="002F65A7" w:rsidP="00723CDF">
      <w:pPr>
        <w:suppressAutoHyphens/>
        <w:spacing w:after="0" w:line="240" w:lineRule="auto"/>
        <w:ind w:left="709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всех улицах и остановках общественного транспорта, у магазинов и других местах общего пользования юридическими лицами и гражданами, в ведении которых находятся указанные территории (здания), должны быть выставлены урны в соответствии с санитарными нормами Санитарные правила и нормы СанПиН 42–128–4690–88 «Санитарные правила содержания территорий населенных мест» (утв. Минздравом СССР 5 августа 1988г.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ar-SA"/>
        </w:rPr>
        <w:t>N 4690–88), очистка урн должна производиться ежедневно по мере их наполнения.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 и вывоз твердых бытовых отходов в Бирюльском  сельском поселении осуществляется юридическими лицами и гражданами.     Главным методом утилизации твердых бытовых отходов является размещение их на </w:t>
      </w:r>
      <w:r w:rsidRPr="002F65A7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несанкционированной свалке, которая  организована (на выезде)  по правой стороне дороги в д. Малая Тарель из села Бирюлька.  </w:t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2F65A7" w:rsidRPr="002F65A7" w:rsidRDefault="002F65A7" w:rsidP="002F65A7">
      <w:pPr>
        <w:widowControl w:val="0"/>
        <w:snapToGrid w:val="0"/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Сбор и вывоз твердых бытовых отходов организаций и предприятий</w:t>
      </w:r>
    </w:p>
    <w:p w:rsidR="002F65A7" w:rsidRPr="002F65A7" w:rsidRDefault="002F65A7" w:rsidP="002F65A7">
      <w:pPr>
        <w:widowControl w:val="0"/>
        <w:snapToGrid w:val="0"/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иные хозяйствующие субъекты, осуществляющие свою деятельность на территории Бирюльского сельского поселения, обязаны организовывать и проводить мероприятия по сбору, вывозу и утилизации мусора и твердых бытовых отходов.</w:t>
      </w:r>
    </w:p>
    <w:p w:rsidR="002F65A7" w:rsidRPr="002F65A7" w:rsidRDefault="002F65A7" w:rsidP="002F65A7">
      <w:pPr>
        <w:spacing w:after="0" w:line="240" w:lineRule="auto"/>
        <w:ind w:left="709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предприятий, организаций, учреждений и иных хозяйствующих субъектов - часть территории, имеющая площадь, границы, местоположение, правовой статус и другие характеристики, отражаемые в Государственном земельном кадастре, переданная (закрепленная) целевым назначением за юридическим или физическим лицам на правах, предусмотренных законодательством.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Прилегающая территория - территория, непосредственно примыкающая к границам здания или сооружения, ограждению, строительной площадке, объектам торговли, рекламы и иным объектам, находящимся на балансе, в собственности, владении, аренде у юридических или физических лиц, в т. ч. и у индивидуальных предпринимателей. </w:t>
      </w:r>
      <w:proofErr w:type="gramEnd"/>
    </w:p>
    <w:p w:rsidR="002F65A7" w:rsidRPr="002F65A7" w:rsidRDefault="002F65A7" w:rsidP="002F65A7">
      <w:pPr>
        <w:spacing w:after="0" w:line="240" w:lineRule="auto"/>
        <w:ind w:left="709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отдельными предприятиями и организациями в ряде случаев могут быть закреплены для уборки и содержания территории, не находящиеся в непосредственной близости от этих предприятий и организаций, но имеющие связь с их производственной, хозяйственной или иной деятельностью. </w:t>
      </w:r>
    </w:p>
    <w:p w:rsidR="002F65A7" w:rsidRPr="002F65A7" w:rsidRDefault="002F65A7" w:rsidP="002F65A7">
      <w:pPr>
        <w:spacing w:after="0" w:line="240" w:lineRule="auto"/>
        <w:ind w:left="709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и содержание объектов с обособленной территорией (клубы,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 д.) на расстоянии 10 метров по периметру ограждения, а также отдельно стоящих объектов (киоски, магазины и т. д.), независимо от формы собственности и прилегающей к ним территории на расстоянии 15 метров от крайней стены здания, </w:t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 по всему периметру, осуществляется силами граждан и организаций, в чьем ведении или владении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эти объекты. </w:t>
      </w:r>
    </w:p>
    <w:p w:rsidR="002F65A7" w:rsidRPr="002F65A7" w:rsidRDefault="002F65A7" w:rsidP="00723CDF">
      <w:pPr>
        <w:spacing w:after="0" w:line="240" w:lineRule="auto"/>
        <w:ind w:left="709"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предприятий и организаций всех форм собственности, подъездные пути к ним, а также санитарно-защитные зоны предприятий убираются силами этих предприятий (организаций). Санитарно-защитные зоны предприятий определяются в соответствии с требованиями СанПиН 2.2.1/2.1.1.1200-ФЗ «Санитарно-защитные зоны и санитарная классификация предприятий, сооружений и иных объектов». </w:t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строительных площадок и подъездные пути к ним должны содержаться в соответствии со СНиП 3.01.01–85 «Организация строительного производства», СП 12–136-2002. Уборка территории вокруг строительных площадок не менее чем в 10 метровой зоне по периметру (с учетом границ градостроительной обстановки) и подъездных путей осуществляется силами строительной организации, или застройщика (по их договору). </w:t>
      </w:r>
    </w:p>
    <w:p w:rsidR="002F65A7" w:rsidRPr="002F65A7" w:rsidRDefault="002F65A7" w:rsidP="00723CDF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Сбор и вывоз твердых бытовых отходов населения, проживающего в частных домовладениях</w:t>
      </w:r>
    </w:p>
    <w:p w:rsidR="002F65A7" w:rsidRPr="002F65A7" w:rsidRDefault="002F65A7" w:rsidP="002F65A7">
      <w:pPr>
        <w:spacing w:after="0" w:line="240" w:lineRule="auto"/>
        <w:ind w:left="709"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Собственники, владельцы, пользователи и арендаторы объектов индивидуального жилого сектора обязаны:</w:t>
      </w:r>
    </w:p>
    <w:p w:rsidR="002F65A7" w:rsidRPr="002F65A7" w:rsidRDefault="002F65A7" w:rsidP="002F65A7">
      <w:pPr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в чистоте свои участки, палисадники, придомовые территории на расстоянии 5 метров по всему периметру земельного участка, выезды на проезжую часть дороги; </w:t>
      </w:r>
    </w:p>
    <w:p w:rsidR="002F65A7" w:rsidRPr="002F65A7" w:rsidRDefault="002F65A7" w:rsidP="002F65A7">
      <w:pPr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удалять отходы, содержимое выгребных ям, грязь и снег своими силами и средствами или силами эксплуатирующих организаций по уборке территории поселений на договорной основе; </w:t>
      </w:r>
    </w:p>
    <w:p w:rsidR="002F65A7" w:rsidRPr="002F65A7" w:rsidRDefault="002F65A7" w:rsidP="002F65A7">
      <w:pPr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оборудованную выгребную яму, не допускать сооружения выгребных ям на 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2F65A7" w:rsidRPr="002F65A7" w:rsidRDefault="002F65A7" w:rsidP="002F65A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допускать сжигания, захоронения в земле и выбрасывания на улицу (включая водоотводящие лотки, канавы)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 фекальных нечистот; </w:t>
      </w:r>
      <w:proofErr w:type="gramEnd"/>
    </w:p>
    <w:p w:rsidR="002F65A7" w:rsidRPr="002F65A7" w:rsidRDefault="002F65A7" w:rsidP="002F65A7">
      <w:pPr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допускать без согласования уполномоченных органов складирование стройматериалов, размещение транспортных средств, иной техники и оборудования в зеленой зоне, на улицах, в переулках и тупиках (в том числе перед домами, в промежутках между домами и иными постройками); </w:t>
      </w:r>
    </w:p>
    <w:p w:rsidR="002F65A7" w:rsidRPr="002F65A7" w:rsidRDefault="002F65A7" w:rsidP="002F65A7">
      <w:pPr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месячника по благоустройству обеспечить в трехдневный срок вывоз за свой счет всего дворового мусора на   </w:t>
      </w:r>
      <w:r w:rsidRPr="002F65A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несанкционированную свалку, которая  организована (на выезде)  по правой стороне дороги в д. Малая Тарель из села Бирюлька</w:t>
      </w:r>
      <w:proofErr w:type="gramStart"/>
      <w:r w:rsidRPr="002F65A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</w:t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F65A7" w:rsidRPr="002F65A7" w:rsidRDefault="002F65A7" w:rsidP="002F65A7">
      <w:pPr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для осмотра представителям администрации сельского поселения, органам санитарно-эпидемиологического, земельного и экологического контроля дворовые объекты санитарной очистки (выгребные ямы, индивидуальные контейнеры и помещения для сбора мусора, компостные ямы и кучи, объекты локального отопления).</w:t>
      </w:r>
    </w:p>
    <w:p w:rsidR="002F65A7" w:rsidRPr="002F65A7" w:rsidRDefault="002F65A7" w:rsidP="002F65A7">
      <w:pPr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723CDF">
      <w:pPr>
        <w:spacing w:after="0" w:line="240" w:lineRule="auto"/>
        <w:ind w:left="709"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Эксплуатирующие организации по уборке и санитарной очистке обязаны: </w:t>
      </w:r>
    </w:p>
    <w:p w:rsidR="002F65A7" w:rsidRPr="002F65A7" w:rsidRDefault="002F65A7" w:rsidP="002F65A7">
      <w:pPr>
        <w:numPr>
          <w:ilvl w:val="0"/>
          <w:numId w:val="2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не реже одного раза в год на договорных условиях производить очистку водоотводящих канав и лотков от грязи и мусора и вывоз осадка для обезвреживания на полигоны твердых бытовых отходов; </w:t>
      </w:r>
    </w:p>
    <w:p w:rsidR="002F65A7" w:rsidRPr="002F65A7" w:rsidRDefault="002F65A7" w:rsidP="002F65A7">
      <w:pPr>
        <w:numPr>
          <w:ilvl w:val="0"/>
          <w:numId w:val="2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вывозить по заявкам и за счет владельцев крупногабаритные отходы (включая ветви и стволы деревьев) к местам захоронения или утилизации по мере их накопления во дворах;</w:t>
      </w:r>
    </w:p>
    <w:p w:rsidR="002F65A7" w:rsidRPr="002F65A7" w:rsidRDefault="002F65A7" w:rsidP="002F65A7">
      <w:pPr>
        <w:numPr>
          <w:ilvl w:val="0"/>
          <w:numId w:val="3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</w:t>
      </w:r>
      <w:proofErr w:type="gram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своевременной санитарной очисткой в частном жилом секторе; </w:t>
      </w:r>
    </w:p>
    <w:p w:rsidR="002F65A7" w:rsidRPr="002F65A7" w:rsidRDefault="002F65A7" w:rsidP="002F65A7">
      <w:pPr>
        <w:numPr>
          <w:ilvl w:val="0"/>
          <w:numId w:val="3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жильцам помощь в организации и проведении работ по санитарной очистке придомовых территорий и прилегающих участков проезжей части улиц;</w:t>
      </w:r>
    </w:p>
    <w:p w:rsidR="002F65A7" w:rsidRPr="002F65A7" w:rsidRDefault="002F65A7" w:rsidP="002F65A7">
      <w:pPr>
        <w:numPr>
          <w:ilvl w:val="0"/>
          <w:numId w:val="3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оповещать жильцов о сроках проведения месячников по благоустройству, времени и порядке сбора и вывоза крупногабаритных отходов.</w:t>
      </w:r>
    </w:p>
    <w:p w:rsidR="002F65A7" w:rsidRPr="002F65A7" w:rsidRDefault="002F65A7" w:rsidP="00723CDF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сельского поселения периодически образуются несанкционированные свалки, которые силами администрации 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2F65A7" w:rsidRPr="002F65A7" w:rsidRDefault="002F65A7" w:rsidP="00723C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развитию системы сбора и утилизации ТБО в Поселении:</w:t>
      </w:r>
    </w:p>
    <w:p w:rsidR="002F65A7" w:rsidRPr="002F65A7" w:rsidRDefault="002F65A7" w:rsidP="002F65A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усовершенствованию санкционированных полигонов твердых бытовых отходов (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оканавливание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грунтов, вывешивание аншлагов);</w:t>
      </w:r>
    </w:p>
    <w:p w:rsidR="002F65A7" w:rsidRPr="002F65A7" w:rsidRDefault="002F65A7" w:rsidP="002F65A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2F65A7" w:rsidRPr="002F65A7" w:rsidRDefault="002F65A7" w:rsidP="002F65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контейнеров для сбора ТБО в местах массового отдыха граждан;</w:t>
      </w:r>
    </w:p>
    <w:p w:rsidR="002F65A7" w:rsidRPr="002F65A7" w:rsidRDefault="002F65A7" w:rsidP="002F65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обслуживания мест сбора ТБО;</w:t>
      </w:r>
    </w:p>
    <w:p w:rsidR="002F65A7" w:rsidRPr="002F65A7" w:rsidRDefault="002F65A7" w:rsidP="002F65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вывоз мусора с территории жилой застройки;</w:t>
      </w:r>
    </w:p>
    <w:p w:rsidR="002F65A7" w:rsidRPr="002F65A7" w:rsidRDefault="002F65A7" w:rsidP="002F65A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регулярное проведение работ по удалению несанкционированных свалок;</w:t>
      </w:r>
    </w:p>
    <w:p w:rsidR="002F65A7" w:rsidRPr="002F65A7" w:rsidRDefault="002F65A7" w:rsidP="002F65A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элементов финансового поощрения добровольных бригад, собирающих </w:t>
      </w:r>
      <w:proofErr w:type="spellStart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</w:t>
      </w:r>
      <w:proofErr w:type="spellEnd"/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складированный мусор и транспортирующих его на полигон ТБО. </w:t>
      </w:r>
    </w:p>
    <w:p w:rsidR="002F65A7" w:rsidRPr="002F65A7" w:rsidRDefault="002F65A7" w:rsidP="00723CDF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районный полигон для захоронения.</w:t>
      </w:r>
    </w:p>
    <w:p w:rsidR="002F65A7" w:rsidRPr="002F65A7" w:rsidRDefault="002F65A7" w:rsidP="002F6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6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Отходы 1-2 класса опасности.</w:t>
      </w:r>
    </w:p>
    <w:p w:rsidR="002F65A7" w:rsidRPr="002F65A7" w:rsidRDefault="002F65A7" w:rsidP="002F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сельского поселения могут быть образованы не только 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  окружающей среды администрация Бирюльского сельского поселения  приняла постановление № 76 от 22.12.2014 года </w:t>
      </w:r>
      <w:r w:rsidRPr="002F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сбора отработанных  ртутьсодержащих ламп на  территории муниципального образования Бирюльского сельского поселения»  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количество образующихся отходов приведено в Таблице 7.                                                                                                        </w:t>
      </w:r>
    </w:p>
    <w:p w:rsidR="002F65A7" w:rsidRDefault="002F65A7" w:rsidP="002F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723CDF" w:rsidRPr="002F65A7" w:rsidRDefault="00723CDF" w:rsidP="002F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70"/>
        <w:gridCol w:w="2265"/>
        <w:gridCol w:w="1842"/>
        <w:gridCol w:w="1621"/>
      </w:tblGrid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отхода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Норматив образования,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Обоснование</w:t>
            </w:r>
          </w:p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для </w:t>
            </w:r>
          </w:p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образования отхода, тонн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образующихся отходов, тонн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5A7" w:rsidRPr="002F65A7" w:rsidRDefault="002F65A7" w:rsidP="002F65A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0,010*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крупногабаритные)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170-190кг на 1чел/год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323.0 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бытовых помещений организаций несортированный (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крупногабаритный)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30-40кг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1чел/год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  и помещений объектов оптово-розничной торговли продовольственными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кг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1м²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торговой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стационарных магазинов,3 павильона площадью 541 ,  </w:t>
            </w:r>
            <w:proofErr w:type="spellStart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кг на 1 человека в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Полиэтиленовая тара поврежденная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полиэтилена в виде пленки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F65A7" w:rsidRPr="002F65A7" w:rsidRDefault="002F65A7" w:rsidP="002F65A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0,300*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черных металлов несортированный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1,000*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0,100*</w:t>
            </w:r>
          </w:p>
        </w:tc>
      </w:tr>
      <w:tr w:rsidR="002F65A7" w:rsidRPr="002F65A7" w:rsidTr="00CE069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упаковочного картона незагрязненные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</w:tr>
    </w:tbl>
    <w:p w:rsidR="002F65A7" w:rsidRPr="002F65A7" w:rsidRDefault="002F65A7" w:rsidP="002F65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прогнозируемые данные.</w:t>
      </w:r>
    </w:p>
    <w:p w:rsidR="002F65A7" w:rsidRPr="002F65A7" w:rsidRDefault="002F65A7" w:rsidP="002F65A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8 приведен примерный перечень отходов, образование которых возможно на территории Бирюльского сельского поселения.</w:t>
      </w:r>
    </w:p>
    <w:p w:rsidR="002F65A7" w:rsidRPr="002F65A7" w:rsidRDefault="002F65A7" w:rsidP="002F65A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94"/>
        <w:tblW w:w="91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233"/>
        <w:gridCol w:w="1590"/>
        <w:gridCol w:w="1136"/>
        <w:gridCol w:w="1598"/>
        <w:gridCol w:w="2237"/>
      </w:tblGrid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5A7" w:rsidRPr="002F65A7" w:rsidRDefault="002F65A7" w:rsidP="002F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отхода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ФККО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объем образования отходов, тонн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размещения отхода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65A7" w:rsidRPr="002F65A7" w:rsidRDefault="002F65A7" w:rsidP="002F65A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3533010013011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специализироваными предприятиями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9110010001004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323.0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бытовых помещений организаций несортированный (</w:t>
            </w:r>
            <w:proofErr w:type="gramStart"/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91200401004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3,80 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(мусор) от уборки территории  и помещений объектов оптово-розничной торговли </w:t>
            </w: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продовольственными товарами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9120110001005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9120130001005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Полиэтиленовая тара поврежденная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5710290313995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полиэтилена в виде пленки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5710290201995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3140080201995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0,300*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черных металлов несортированный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3513010001995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1,000*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3531010313995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0,100*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упаковочного картона незагрязненные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1871020201005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на свалку</w:t>
            </w:r>
          </w:p>
        </w:tc>
      </w:tr>
      <w:tr w:rsidR="002F65A7" w:rsidRPr="002F65A7" w:rsidTr="00CE069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F65A7" w:rsidRPr="002F65A7" w:rsidRDefault="002F65A7" w:rsidP="002F65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5A7" w:rsidRPr="002F65A7" w:rsidRDefault="002F65A7" w:rsidP="002F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709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направления работы администрации Бирюльского сельского поселения</w:t>
      </w:r>
    </w:p>
    <w:p w:rsidR="002F65A7" w:rsidRPr="002F65A7" w:rsidRDefault="002F65A7" w:rsidP="002F65A7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2F65A7" w:rsidRPr="002F65A7" w:rsidRDefault="002F65A7" w:rsidP="002F65A7">
      <w:pPr>
        <w:numPr>
          <w:ilvl w:val="1"/>
          <w:numId w:val="4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2F65A7" w:rsidRPr="002F65A7" w:rsidRDefault="002F65A7" w:rsidP="002F65A7">
      <w:pPr>
        <w:numPr>
          <w:ilvl w:val="1"/>
          <w:numId w:val="4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2F65A7" w:rsidRPr="002F65A7" w:rsidRDefault="002F65A7" w:rsidP="002F65A7">
      <w:pPr>
        <w:numPr>
          <w:ilvl w:val="1"/>
          <w:numId w:val="4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инвестиционных проектов по обращению с отходами производства и потребления.</w:t>
      </w:r>
    </w:p>
    <w:p w:rsidR="002F65A7" w:rsidRPr="002F65A7" w:rsidRDefault="002F65A7" w:rsidP="002F65A7">
      <w:pPr>
        <w:spacing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Обобщая вышеизложенное, необходимо сказать, что</w:t>
      </w:r>
      <w:r w:rsidRPr="002F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 территорий населенных пунктов </w:t>
      </w:r>
      <w:r w:rsidRPr="002F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многоаспектной, а решение сложных задач не проводят в одно действие. Выстроить стройную систему, включающую все вопросы  очистки территории Бирюльского сельского 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</w:t>
      </w:r>
    </w:p>
    <w:p w:rsidR="002F65A7" w:rsidRPr="002F65A7" w:rsidRDefault="002F65A7" w:rsidP="002F65A7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 для поэтапной организации системы селективного сбора ТБО на территории поселения</w:t>
      </w:r>
    </w:p>
    <w:p w:rsidR="002F65A7" w:rsidRPr="002F65A7" w:rsidRDefault="002F65A7" w:rsidP="002F6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площадку временного накопления пищевых отходов (в полиэтиленовых емкостях).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Произвести маркировку мест временного накопления отходов с указанием: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номера;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видов отходов, для хранения которых предназначено данное место.</w:t>
      </w: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7" w:rsidRPr="002F65A7" w:rsidRDefault="002F65A7" w:rsidP="002F65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6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Финансирование мероприятий по санитарной очистке территории Бирюльского сельского поселения</w:t>
      </w:r>
    </w:p>
    <w:p w:rsidR="002F65A7" w:rsidRPr="002F65A7" w:rsidRDefault="002F65A7" w:rsidP="002F65A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:rsidR="005549CD" w:rsidRDefault="002F65A7" w:rsidP="002F65A7">
      <w:r w:rsidRPr="00723CD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       Ежегодно в бюджете сельского поселения предусматривать финансирование  на благоустройство и санитарную</w:t>
      </w:r>
      <w:r w:rsidR="00723CD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очистку территории поселения</w:t>
      </w:r>
    </w:p>
    <w:sectPr w:rsidR="005549CD" w:rsidSect="00B036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A09"/>
    <w:multiLevelType w:val="hybridMultilevel"/>
    <w:tmpl w:val="5928B7CA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38BC4746"/>
    <w:multiLevelType w:val="hybridMultilevel"/>
    <w:tmpl w:val="FC862DD6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4FAF2FEC"/>
    <w:multiLevelType w:val="hybridMultilevel"/>
    <w:tmpl w:val="A2566824"/>
    <w:lvl w:ilvl="0" w:tplc="1DDA9960">
      <w:start w:val="1"/>
      <w:numFmt w:val="decimal"/>
      <w:lvlText w:val="%1."/>
      <w:lvlJc w:val="left"/>
      <w:pPr>
        <w:ind w:left="15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3">
    <w:nsid w:val="62DB28D9"/>
    <w:multiLevelType w:val="hybridMultilevel"/>
    <w:tmpl w:val="A4304778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798372CF"/>
    <w:multiLevelType w:val="hybridMultilevel"/>
    <w:tmpl w:val="4CF82FCE"/>
    <w:lvl w:ilvl="0" w:tplc="FEEA15B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5566B988">
      <w:start w:val="4"/>
      <w:numFmt w:val="decimal"/>
      <w:lvlText w:val="%3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02"/>
    <w:rsid w:val="002F65A7"/>
    <w:rsid w:val="005549CD"/>
    <w:rsid w:val="00723CDF"/>
    <w:rsid w:val="008B3202"/>
    <w:rsid w:val="00B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2015-07-31T07:45:00Z</dcterms:created>
  <dcterms:modified xsi:type="dcterms:W3CDTF">2015-07-31T08:08:00Z</dcterms:modified>
</cp:coreProperties>
</file>