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07" w:rsidRPr="00597D07" w:rsidRDefault="00945DBC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</w:t>
      </w:r>
      <w:r w:rsidR="00E1742A">
        <w:rPr>
          <w:rFonts w:ascii="Arial" w:eastAsia="Times New Roman" w:hAnsi="Arial" w:cs="Arial"/>
          <w:b/>
          <w:sz w:val="32"/>
          <w:szCs w:val="32"/>
          <w:lang w:eastAsia="ru-RU"/>
        </w:rPr>
        <w:t>12.2020</w:t>
      </w:r>
      <w:bookmarkStart w:id="0" w:name="_GoBack"/>
      <w:bookmarkEnd w:id="0"/>
      <w:r w:rsidR="00597D07"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г.№40</w:t>
      </w:r>
    </w:p>
    <w:p w:rsidR="00597D07" w:rsidRPr="00597D07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97D07" w:rsidRPr="00597D07" w:rsidRDefault="00597D07" w:rsidP="00597D07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97D07" w:rsidRPr="00597D07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597D07" w:rsidRPr="00597D07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597D07" w:rsidRPr="00597D07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597D07" w:rsidRPr="00597D07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D0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97D07" w:rsidRPr="00597D07" w:rsidRDefault="00597D07" w:rsidP="00597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07" w:rsidRPr="00597D07" w:rsidRDefault="00597D07" w:rsidP="0059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D07" w:rsidRPr="00597D07" w:rsidRDefault="00597D07" w:rsidP="0059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D07" w:rsidRPr="003910C0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0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 Положения о межведомственной комиссии </w:t>
      </w:r>
      <w:r w:rsidRPr="003910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3910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расположенных</w:t>
      </w:r>
      <w:proofErr w:type="gramEnd"/>
      <w:r w:rsidRPr="003910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</w:t>
      </w:r>
      <w:proofErr w:type="spellStart"/>
      <w:r w:rsidRPr="003910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7D07" w:rsidRPr="003910C0" w:rsidRDefault="00597D07" w:rsidP="003910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7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32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</w:t>
      </w:r>
      <w:hyperlink r:id="rId10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руководствуясь Уставом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97D07" w:rsidRPr="00597D07" w:rsidRDefault="00597D07" w:rsidP="0059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D07" w:rsidRPr="003910C0" w:rsidRDefault="00597D07" w:rsidP="003910C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910C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597D07" w:rsidRPr="003910C0" w:rsidRDefault="00597D07" w:rsidP="00597D07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597D07" w:rsidRPr="003910C0" w:rsidRDefault="00597D07" w:rsidP="00597D07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Положение о межведомственной комиссии </w:t>
      </w:r>
      <w:r w:rsidRPr="003910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3910C0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расположенных</w:t>
      </w:r>
      <w:proofErr w:type="gramEnd"/>
      <w:r w:rsidRPr="003910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3910C0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597D07" w:rsidRPr="003910C0" w:rsidRDefault="00597D07" w:rsidP="00597D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r w:rsidRPr="003910C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Настоящее постановление вступает в силу с момента его опубликования (обнародования) на официальном сайте </w:t>
      </w:r>
      <w:proofErr w:type="spellStart"/>
      <w:r w:rsidRPr="003910C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муниципального </w:t>
      </w:r>
      <w:proofErr w:type="spellStart"/>
      <w:r w:rsidRPr="003910C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образовани</w:t>
      </w:r>
      <w:proofErr w:type="spellEnd"/>
      <w:r w:rsidRPr="003910C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hyperlink r:id="rId11" w:history="1">
        <w:r w:rsidRPr="003910C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910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910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бирюльское.рф</w:t>
        </w:r>
        <w:proofErr w:type="spellEnd"/>
      </w:hyperlink>
      <w:r w:rsidRPr="003910C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/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10C0">
        <w:rPr>
          <w:rFonts w:ascii="Courier New" w:eastAsia="Times New Roman" w:hAnsi="Courier New" w:cs="Courier New"/>
          <w:lang w:eastAsia="ru-RU"/>
        </w:rPr>
        <w:t>Приложение 1</w:t>
      </w:r>
    </w:p>
    <w:p w:rsidR="00597D07" w:rsidRPr="003910C0" w:rsidRDefault="00597D07" w:rsidP="00597D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10C0">
        <w:rPr>
          <w:rFonts w:ascii="Courier New" w:eastAsia="Times New Roman" w:hAnsi="Courier New" w:cs="Courier New"/>
          <w:lang w:eastAsia="ru-RU"/>
        </w:rPr>
        <w:t xml:space="preserve">  к  постановлению  администрации</w:t>
      </w:r>
    </w:p>
    <w:p w:rsidR="00597D07" w:rsidRPr="003910C0" w:rsidRDefault="00597D07" w:rsidP="00597D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3910C0">
        <w:rPr>
          <w:rFonts w:ascii="Courier New" w:eastAsia="Times New Roman" w:hAnsi="Courier New" w:cs="Courier New"/>
          <w:lang w:eastAsia="ru-RU"/>
        </w:rPr>
        <w:lastRenderedPageBreak/>
        <w:t>Бирюльского</w:t>
      </w:r>
      <w:proofErr w:type="spellEnd"/>
      <w:r w:rsidRPr="003910C0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597D07" w:rsidRPr="003910C0" w:rsidRDefault="00597D07" w:rsidP="00597D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10C0">
        <w:rPr>
          <w:rFonts w:ascii="Courier New" w:eastAsia="Times New Roman" w:hAnsi="Courier New" w:cs="Courier New"/>
          <w:lang w:eastAsia="ru-RU"/>
        </w:rPr>
        <w:t>от 28.12.2020 г № 40</w:t>
      </w:r>
    </w:p>
    <w:p w:rsidR="00597D07" w:rsidRPr="00597D07" w:rsidRDefault="00597D07" w:rsidP="0059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07" w:rsidRPr="003910C0" w:rsidRDefault="00597D07" w:rsidP="00597D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о межведомственной комиссии </w:t>
      </w:r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расположенных</w:t>
      </w:r>
      <w:proofErr w:type="gramEnd"/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597D07" w:rsidRPr="003910C0" w:rsidRDefault="00597D07" w:rsidP="00597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проживания, садового дома жилым домом и жилого дома садовым домом расположенных, на территории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- комиссия) на основании заявления собственника помещения или заявления гражданина (нанимателя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>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1.2. Комиссия осуществляет свою деятельность в соответствии с Жилищным кодексом Российской Федерации, Градостроительным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 (далее - Положение).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задачи и полномочия комиссии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2.1. Основной задачей комиссии является оценка соответствия помещения установленным в Положении требованиям и признание жилого помещения пригодным (непригодным) для проживания, признание многоквартирного дома аварийным и подлежащим сносу или реконструкции.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Вышеуказанную задачу комиссия решает за счет следующих полномочий: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прием и рассмотрение заявлений и прилагаемых к ним обосновывающих документов;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составление комиссией заключения о признании жилого помещения соответствующим (не соответствующим) установленным в Положении (далее - заключение);</w:t>
      </w:r>
      <w:proofErr w:type="gramEnd"/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специализированной организации, проводящей обследование. </w:t>
      </w:r>
    </w:p>
    <w:p w:rsidR="00597D07" w:rsidRPr="003910C0" w:rsidRDefault="00597D07" w:rsidP="00597D0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Организация работы комиссии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3.1. Состав комиссии утверждается распоряжением администрации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>правом решающего голоса.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(учреждения), если указанному органу либо его подведомственному предприятию (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учреждению) 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>оцениваемое имущество принадлежит на соответствующем вещном праве (далее правообладатель).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3.2. Возглавляет работу комиссии председатель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–г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лава администрации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который руководит ее деятельностью, ведет заседание комиссии, утверждает повестку заседания комиссии. В отсутствие председателя комиссии или по его поручению, его функции выполняет заместитель председателя комиссии.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3.3. Секретарь комиссии назначается из числа членов комиссии.                                                    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3.4. Заседания комиссии проводятся в случае необходимости.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3.5. Члены комиссии обязаны присутствовать на всех заседаниях.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требованиям и принимает решение, указанное в п.3.8. Положения о межведомственной комиссии, либо решение о проведении дополнительного обследования оцениваемого помещения.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проводилась оценка жилых помещений жилищного фонда Российской Федерации или многоквартирного дома, находящегося в федеральной собственности, не позднее, чем за 20 календарных дней до начала работы комиссии администрация 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обязательном порядке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осуществляющей полномочия собственника в отношении оцениваемого имущества, и правообладателю такого имущества уведомление на межведомственном портале по управлению государственной собственностью в информационно-телекоммуникационной сети «Интернет».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Если уполномоченные представители не принимали участия в работе комиссии (при условии 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910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Комиссия рассматривает поступившее заявление или заключение органа государственного надзора (контроля) в течение 30 календарных дней </w:t>
      </w:r>
      <w:proofErr w:type="gramStart"/>
      <w:r w:rsidRPr="003910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даты регистрации</w:t>
      </w:r>
      <w:proofErr w:type="gramEnd"/>
      <w:r w:rsidRPr="003910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597D07" w:rsidRPr="003910C0" w:rsidRDefault="00597D07" w:rsidP="00597D07">
      <w:pPr>
        <w:shd w:val="clear" w:color="auto" w:fill="FFFFFF"/>
        <w:spacing w:after="0" w:line="29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97D07" w:rsidRPr="003910C0" w:rsidRDefault="00597D07" w:rsidP="00597D07">
      <w:pPr>
        <w:shd w:val="clear" w:color="auto" w:fill="FFFFFF"/>
        <w:spacing w:after="0" w:line="29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82"/>
      <w:bookmarkEnd w:id="1"/>
      <w:proofErr w:type="gramStart"/>
      <w:r w:rsidRPr="00391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непредставления заявителем документов, предусмотренных </w:t>
      </w:r>
      <w:hyperlink r:id="rId12" w:anchor="dst4" w:history="1">
        <w:r w:rsidRPr="003910C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 45</w:t>
        </w:r>
      </w:hyperlink>
      <w:r w:rsidRPr="00391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391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391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3.7. 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3.8.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- о выявлении оснований для признания помещения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проживания;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Перечень дополнительных документов (заключения, 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 определяется по предложению членов комиссии и оформляется решением комиссии.</w:t>
      </w:r>
      <w:proofErr w:type="gramEnd"/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>3.10.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оформляется решением комиссии.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обследования помещения комиссия составляет акт обследования помещения по форме в 3-х экземплярах (форма приведена в приложении №2 к </w:t>
      </w:r>
      <w:hyperlink r:id="rId14" w:history="1">
        <w:r w:rsidRPr="003910C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Постановлению</w:t>
        </w:r>
      </w:hyperlink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домом»).</w:t>
      </w:r>
      <w:proofErr w:type="gramEnd"/>
    </w:p>
    <w:p w:rsidR="00597D07" w:rsidRPr="003910C0" w:rsidRDefault="00597D07" w:rsidP="0059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На основании полученного заключения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30 календарных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 юридических лиц в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97D07" w:rsidRPr="003910C0" w:rsidRDefault="00597D07" w:rsidP="00597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>в 5-дневный срок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принятия решения, предусмотренного пунктом 3.11 Положения о межведомственной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Портал государственных и муниципальных услуг (функций) Иркутской области, по 1 экземпляру распоряжения и заключения комиссии 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>заявителю,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 случае признания жилого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непригодным для проживания и многоквартирного дома 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аварийным и подлежащим сносу или реконструкции - 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>в орган государственного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10C0">
        <w:rPr>
          <w:rFonts w:ascii="Arial" w:eastAsia="Times New Roman" w:hAnsi="Arial" w:cs="Arial"/>
          <w:b/>
          <w:sz w:val="24"/>
          <w:szCs w:val="24"/>
          <w:lang w:eastAsia="ru-RU"/>
        </w:rPr>
        <w:t>жилищного надзора (муниципального жилищного контроля).</w:t>
      </w:r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10C0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 или по основаниям расположения жилых помещений в опасных зонах схода оползней, селевых потоков, снежных лавин, а также на территориях, которые ежегодно затапливаются паводковыми водами и на которых</w:t>
      </w:r>
      <w:proofErr w:type="gramEnd"/>
      <w:r w:rsidRPr="003910C0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на позднее рабочего дня, следующего за днем оформления решения.</w:t>
      </w:r>
    </w:p>
    <w:p w:rsidR="00597D07" w:rsidRPr="003910C0" w:rsidRDefault="00597D07" w:rsidP="00597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5E9" w:rsidRPr="003910C0" w:rsidRDefault="00C52ECE">
      <w:pPr>
        <w:rPr>
          <w:rFonts w:ascii="Arial" w:hAnsi="Arial" w:cs="Arial"/>
          <w:sz w:val="24"/>
          <w:szCs w:val="24"/>
        </w:rPr>
      </w:pPr>
    </w:p>
    <w:sectPr w:rsidR="004B55E9" w:rsidRPr="003910C0" w:rsidSect="0077489F">
      <w:headerReference w:type="default" r:id="rId15"/>
      <w:footerReference w:type="default" r:id="rId16"/>
      <w:pgSz w:w="12240" w:h="15840"/>
      <w:pgMar w:top="567" w:right="75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CE" w:rsidRDefault="00C52ECE" w:rsidP="003910C0">
      <w:pPr>
        <w:spacing w:after="0" w:line="240" w:lineRule="auto"/>
      </w:pPr>
      <w:r>
        <w:separator/>
      </w:r>
    </w:p>
  </w:endnote>
  <w:endnote w:type="continuationSeparator" w:id="0">
    <w:p w:rsidR="00C52ECE" w:rsidRDefault="00C52ECE" w:rsidP="0039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0" w:rsidRDefault="003910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CE" w:rsidRDefault="00C52ECE" w:rsidP="003910C0">
      <w:pPr>
        <w:spacing w:after="0" w:line="240" w:lineRule="auto"/>
      </w:pPr>
      <w:r>
        <w:separator/>
      </w:r>
    </w:p>
  </w:footnote>
  <w:footnote w:type="continuationSeparator" w:id="0">
    <w:p w:rsidR="00C52ECE" w:rsidRDefault="00C52ECE" w:rsidP="0039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655721"/>
      <w:docPartObj>
        <w:docPartGallery w:val="Page Numbers (Top of Page)"/>
        <w:docPartUnique/>
      </w:docPartObj>
    </w:sdtPr>
    <w:sdtEndPr/>
    <w:sdtContent>
      <w:p w:rsidR="003910C0" w:rsidRDefault="003910C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2A">
          <w:rPr>
            <w:noProof/>
          </w:rPr>
          <w:t>1</w:t>
        </w:r>
        <w:r>
          <w:fldChar w:fldCharType="end"/>
        </w:r>
      </w:p>
    </w:sdtContent>
  </w:sdt>
  <w:p w:rsidR="003910C0" w:rsidRDefault="00391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F"/>
    <w:rsid w:val="003910C0"/>
    <w:rsid w:val="00597D07"/>
    <w:rsid w:val="0072164D"/>
    <w:rsid w:val="00945DBC"/>
    <w:rsid w:val="00AB71FE"/>
    <w:rsid w:val="00BC4EB0"/>
    <w:rsid w:val="00BF14CF"/>
    <w:rsid w:val="00C52ECE"/>
    <w:rsid w:val="00DB234E"/>
    <w:rsid w:val="00E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0C0"/>
  </w:style>
  <w:style w:type="paragraph" w:styleId="a5">
    <w:name w:val="footer"/>
    <w:basedOn w:val="a"/>
    <w:link w:val="a6"/>
    <w:uiPriority w:val="99"/>
    <w:unhideWhenUsed/>
    <w:rsid w:val="0039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0C0"/>
  </w:style>
  <w:style w:type="paragraph" w:styleId="a5">
    <w:name w:val="footer"/>
    <w:basedOn w:val="a"/>
    <w:link w:val="a6"/>
    <w:uiPriority w:val="99"/>
    <w:unhideWhenUsed/>
    <w:rsid w:val="0039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D79D6C63E0tAZ9M" TargetMode="External"/><Relationship Id="rId13" Type="http://schemas.openxmlformats.org/officeDocument/2006/relationships/hyperlink" Target="consultantplus://offline/ref=FFC4FB34FEE51DFB8E84445FE592E328EA09A526C9F7CDC0A800EFD859A0658B0C5C27D69D6C60tEZ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4FB34FEE51DFB8E84445FE592E328EC0AA420C9F590CAA059E3DA5EAF3A9C0B152BD79D6C63E0tAZ0M" TargetMode="External"/><Relationship Id="rId12" Type="http://schemas.openxmlformats.org/officeDocument/2006/relationships/hyperlink" Target="http://www.consultant.ru/document/cons_doc_LAW_58136/28ef7470383705e7df2e8f6240d143ef6b6cfe0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73;&#1080;&#1088;&#1102;&#1083;&#1100;&#1089;&#1082;&#1086;&#1077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C4FB34FEE51DFB8E84445FE592E328EA09A526C9F7CDC0A800EFD859A0658B0C5C27D69D6C60tE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4FB34FEE51DFB8E84445FE592E328EC0AA420C9F590CAA059E3DA5EAF3A9C0B152BtDZ7M" TargetMode="External"/><Relationship Id="rId14" Type="http://schemas.openxmlformats.org/officeDocument/2006/relationships/hyperlink" Target="consultantplus://offline/ref=FFC4FB34FEE51DFB8E84445FE592E328EA09A526C9F7CDC0A800EFD859A0658B0C5C27D69D6C60t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2021-06-10T08:02:00Z</dcterms:created>
  <dcterms:modified xsi:type="dcterms:W3CDTF">2021-06-11T02:49:00Z</dcterms:modified>
</cp:coreProperties>
</file>