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1" w:rsidRDefault="004B626B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12.11</w:t>
      </w:r>
      <w:r w:rsidR="00BF51C4" w:rsidRPr="00BF51C4">
        <w:rPr>
          <w:rFonts w:ascii="Arial" w:eastAsia="Calibri" w:hAnsi="Arial" w:cs="Arial"/>
          <w:b/>
          <w:sz w:val="32"/>
          <w:szCs w:val="32"/>
        </w:rPr>
        <w:t>.2021 г</w:t>
      </w:r>
      <w:r w:rsidR="00BF51C4">
        <w:rPr>
          <w:rFonts w:ascii="Arial" w:eastAsia="Calibri" w:hAnsi="Arial" w:cs="Arial"/>
          <w:b/>
          <w:sz w:val="32"/>
          <w:szCs w:val="32"/>
        </w:rPr>
        <w:t>. №</w:t>
      </w:r>
      <w:r w:rsidR="007553B3">
        <w:rPr>
          <w:rFonts w:ascii="Arial" w:eastAsia="Calibri" w:hAnsi="Arial" w:cs="Arial"/>
          <w:b/>
          <w:sz w:val="32"/>
          <w:szCs w:val="32"/>
        </w:rPr>
        <w:t>76</w:t>
      </w:r>
      <w:r w:rsidR="00BF51C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КАЧУГСКИЙ РАЙОН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БИРЮЛЬСКОЕ СЕЛЬСКОЕ ПОСЕЛЕНИЕ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ДУМА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7C2891" w:rsidRPr="007C2891" w:rsidRDefault="007C2891" w:rsidP="00ED2C3F">
      <w:pPr>
        <w:spacing w:after="0" w:line="25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553B3" w:rsidRPr="007553B3" w:rsidRDefault="007553B3" w:rsidP="00755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53B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ПРОВЕДЕНИЯ КОНКУРСНОГО ОТБОРА ИНИЦИАТИВНЫХ ПРОЕКТОВ ДЛЯ </w:t>
      </w:r>
      <w:r w:rsidRPr="007553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РЕАЛИЗАЦИИ НА ТЕРРИТОРИИ, ЧАСТИ ТЕРРИТОРИИ </w:t>
      </w: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БИРЮЛЬ</w:t>
      </w:r>
      <w:r w:rsidRPr="007553B3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СКОГО МУНИЦИПАЛЬНОГО О</w:t>
      </w: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БРАЗОВАНИЯ</w:t>
      </w:r>
    </w:p>
    <w:p w:rsidR="007553B3" w:rsidRPr="007553B3" w:rsidRDefault="007553B3" w:rsidP="007553B3">
      <w:pPr>
        <w:rPr>
          <w:rFonts w:ascii="Calibri" w:eastAsia="Times New Roman" w:hAnsi="Calibri" w:cs="Times New Roman"/>
          <w:b/>
          <w:lang w:eastAsia="ru-RU"/>
        </w:rPr>
      </w:pPr>
    </w:p>
    <w:p w:rsidR="007553B3" w:rsidRPr="007553B3" w:rsidRDefault="007553B3" w:rsidP="007553B3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26' Федерального закона от 06.10.2003 № 131- ФЗ «Об общих принципах организации местного самоуправления в Российской Федерации», Порядком реализации инициативных проектов в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муниципальном образовании (сельского поселения), утвержденным решением Думы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руководствуясь</w:t>
      </w:r>
      <w:r w:rsidRPr="007553B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31 Устава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поселения), Дума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553B3" w:rsidRPr="007553B3" w:rsidRDefault="007553B3" w:rsidP="00755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7553B3" w:rsidRPr="007553B3" w:rsidRDefault="007553B3" w:rsidP="007553B3">
      <w:pPr>
        <w:widowControl w:val="0"/>
        <w:numPr>
          <w:ilvl w:val="0"/>
          <w:numId w:val="6"/>
        </w:numPr>
        <w:tabs>
          <w:tab w:val="left" w:pos="808"/>
          <w:tab w:val="left" w:pos="993"/>
        </w:tabs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Утвердить:</w:t>
      </w:r>
    </w:p>
    <w:p w:rsidR="007553B3" w:rsidRPr="007553B3" w:rsidRDefault="007553B3" w:rsidP="007553B3">
      <w:pPr>
        <w:widowControl w:val="0"/>
        <w:numPr>
          <w:ilvl w:val="0"/>
          <w:numId w:val="5"/>
        </w:numPr>
        <w:tabs>
          <w:tab w:val="left" w:pos="777"/>
          <w:tab w:val="left" w:pos="993"/>
        </w:tabs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конкурсного отбора инициативных проектов для реализации на территории, части территории </w:t>
      </w:r>
      <w:proofErr w:type="spellStart"/>
      <w:r w:rsidRPr="007553B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>Качугского</w:t>
      </w:r>
      <w:proofErr w:type="spellEnd"/>
      <w:r w:rsidRPr="007553B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 w:bidi="ru-RU"/>
        </w:rPr>
        <w:t xml:space="preserve"> муниципального образования (сельского поселения)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  к настоящему Решению.</w:t>
      </w:r>
    </w:p>
    <w:p w:rsidR="007553B3" w:rsidRPr="007553B3" w:rsidRDefault="007553B3" w:rsidP="007553B3">
      <w:pPr>
        <w:widowControl w:val="0"/>
        <w:numPr>
          <w:ilvl w:val="0"/>
          <w:numId w:val="5"/>
        </w:numPr>
        <w:tabs>
          <w:tab w:val="left" w:pos="772"/>
          <w:tab w:val="left" w:pos="993"/>
        </w:tabs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Положение о конкурсной комиссии по организации и проведению конкурсного отбора инициативных проектов согласно приложению №2 к настоящему Решению.</w:t>
      </w:r>
    </w:p>
    <w:p w:rsidR="007553B3" w:rsidRPr="007553B3" w:rsidRDefault="007553B3" w:rsidP="007553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официальному опубликованию в печатном органе «Вести» и размещению в информационно-коммуникационной сети Интернет  на официальном сайте администрации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. adm.edkachug.ru.   </w:t>
      </w:r>
    </w:p>
    <w:p w:rsidR="007553B3" w:rsidRPr="007553B3" w:rsidRDefault="007553B3" w:rsidP="007553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     Настоящее Решение вступает в силу после дня его опубликования.</w:t>
      </w:r>
    </w:p>
    <w:p w:rsidR="007553B3" w:rsidRPr="007553B3" w:rsidRDefault="007553B3" w:rsidP="007553B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Default="007553B3" w:rsidP="00BF51C4">
      <w:pPr>
        <w:spacing w:after="0"/>
        <w:rPr>
          <w:rFonts w:ascii="Arial" w:hAnsi="Arial" w:cs="Arial"/>
          <w:sz w:val="24"/>
          <w:szCs w:val="24"/>
        </w:rPr>
      </w:pPr>
    </w:p>
    <w:p w:rsidR="007553B3" w:rsidRDefault="007553B3" w:rsidP="00BF51C4">
      <w:pPr>
        <w:spacing w:after="0"/>
        <w:rPr>
          <w:rFonts w:ascii="Arial" w:hAnsi="Arial" w:cs="Arial"/>
          <w:sz w:val="24"/>
          <w:szCs w:val="24"/>
        </w:rPr>
      </w:pPr>
    </w:p>
    <w:p w:rsidR="00B74897" w:rsidRPr="00B74897" w:rsidRDefault="00B74897" w:rsidP="00BF51C4">
      <w:pPr>
        <w:spacing w:after="0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Председатель Думы,</w:t>
      </w:r>
    </w:p>
    <w:p w:rsidR="00B74897" w:rsidRDefault="00BF51C4" w:rsidP="00BF51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B74897"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="00B74897" w:rsidRPr="00B748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51C4" w:rsidRPr="00B74897" w:rsidRDefault="00BF51C4" w:rsidP="00BF51C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233CFD" w:rsidRDefault="00233CFD">
      <w:pPr>
        <w:rPr>
          <w:rFonts w:ascii="Arial" w:hAnsi="Arial" w:cs="Arial"/>
          <w:sz w:val="24"/>
          <w:szCs w:val="24"/>
        </w:rPr>
      </w:pPr>
    </w:p>
    <w:p w:rsidR="007553B3" w:rsidRPr="007553B3" w:rsidRDefault="007553B3" w:rsidP="007553B3">
      <w:pPr>
        <w:autoSpaceDE w:val="0"/>
        <w:autoSpaceDN w:val="0"/>
        <w:adjustRightInd w:val="0"/>
        <w:spacing w:after="0" w:line="240" w:lineRule="auto"/>
        <w:ind w:left="5954"/>
        <w:rPr>
          <w:rFonts w:ascii="Courier New" w:eastAsia="Times New Roman" w:hAnsi="Courier New" w:cs="Courier New"/>
          <w:color w:val="FF0000"/>
          <w:lang w:eastAsia="ru-RU"/>
        </w:rPr>
      </w:pPr>
      <w:r w:rsidRPr="007553B3">
        <w:rPr>
          <w:rFonts w:ascii="Courier New" w:eastAsia="Times New Roman" w:hAnsi="Courier New" w:cs="Courier New"/>
          <w:lang w:eastAsia="ru-RU"/>
        </w:rPr>
        <w:t xml:space="preserve">Приложение №1                                                                 к решению Думы </w:t>
      </w:r>
      <w:proofErr w:type="spellStart"/>
      <w:r w:rsidRPr="007553B3">
        <w:rPr>
          <w:rFonts w:ascii="Courier New" w:eastAsia="Times New Roman" w:hAnsi="Courier New" w:cs="Courier New"/>
          <w:lang w:eastAsia="ru-RU"/>
        </w:rPr>
        <w:t>Качугского</w:t>
      </w:r>
      <w:proofErr w:type="spellEnd"/>
      <w:r w:rsidRPr="007553B3">
        <w:rPr>
          <w:rFonts w:ascii="Courier New" w:eastAsia="Times New Roman" w:hAnsi="Courier New" w:cs="Courier New"/>
          <w:lang w:eastAsia="ru-RU"/>
        </w:rPr>
        <w:t xml:space="preserve"> сельского поселения                                               от 00.00.0000 г. № </w:t>
      </w:r>
    </w:p>
    <w:p w:rsidR="007553B3" w:rsidRPr="007553B3" w:rsidRDefault="007553B3" w:rsidP="007553B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8"/>
      <w:bookmarkEnd w:id="1"/>
      <w:r w:rsidRPr="007553B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553B3" w:rsidRPr="007553B3" w:rsidRDefault="007553B3" w:rsidP="00755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proofErr w:type="gram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конкурсного отбора инициативных проектов для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реализации на территории, части территории </w:t>
      </w:r>
    </w:p>
    <w:p w:rsidR="007553B3" w:rsidRPr="007553B3" w:rsidRDefault="007553B3" w:rsidP="00755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</w:t>
      </w:r>
    </w:p>
    <w:p w:rsidR="007553B3" w:rsidRPr="007553B3" w:rsidRDefault="007553B3" w:rsidP="00755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spacing w:after="105" w:line="180" w:lineRule="exact"/>
        <w:ind w:left="19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spacing w:after="105" w:line="180" w:lineRule="exact"/>
        <w:ind w:left="19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553B3" w:rsidRPr="007553B3" w:rsidRDefault="007553B3" w:rsidP="007553B3">
      <w:pPr>
        <w:widowControl w:val="0"/>
        <w:tabs>
          <w:tab w:val="left" w:pos="76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</w:p>
    <w:p w:rsidR="007553B3" w:rsidRPr="007553B3" w:rsidRDefault="007553B3" w:rsidP="007553B3">
      <w:pPr>
        <w:widowControl w:val="0"/>
        <w:tabs>
          <w:tab w:val="left" w:pos="7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 (далее - Порядок, конкурсный отбор).</w:t>
      </w:r>
    </w:p>
    <w:p w:rsidR="007553B3" w:rsidRPr="007553B3" w:rsidRDefault="007553B3" w:rsidP="007553B3">
      <w:pPr>
        <w:widowControl w:val="0"/>
        <w:tabs>
          <w:tab w:val="left" w:pos="76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Конкурсный отбор проводится в случае, если в администрацию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 (далее-администрацию) внесено несколько инициативных проектов, в том числе с описанием аналогичных по содержанию приоритетных проблем.</w:t>
      </w:r>
      <w:proofErr w:type="gramEnd"/>
    </w:p>
    <w:p w:rsidR="007553B3" w:rsidRPr="007553B3" w:rsidRDefault="007553B3" w:rsidP="007553B3">
      <w:pPr>
        <w:widowControl w:val="0"/>
        <w:tabs>
          <w:tab w:val="left" w:pos="76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7553B3" w:rsidRPr="007553B3" w:rsidRDefault="007553B3" w:rsidP="007553B3">
      <w:pPr>
        <w:widowControl w:val="0"/>
        <w:tabs>
          <w:tab w:val="left" w:pos="76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4. Конкурсному отбору подлежат инициативные проекты, внесенные в администрацию   их инициаторами.</w:t>
      </w:r>
    </w:p>
    <w:p w:rsidR="007553B3" w:rsidRPr="007553B3" w:rsidRDefault="007553B3" w:rsidP="007553B3">
      <w:pPr>
        <w:spacing w:after="0" w:line="240" w:lineRule="auto"/>
        <w:ind w:firstLine="520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Участниками конкурсного отбора являются инициаторы проектов, внесенных (далее - участники конкурсного отбора).</w:t>
      </w:r>
    </w:p>
    <w:p w:rsidR="007553B3" w:rsidRPr="007553B3" w:rsidRDefault="007553B3" w:rsidP="007553B3">
      <w:pPr>
        <w:widowControl w:val="0"/>
        <w:numPr>
          <w:ilvl w:val="0"/>
          <w:numId w:val="15"/>
        </w:numPr>
        <w:tabs>
          <w:tab w:val="left" w:pos="76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К участию в конкурсном отборе допускаются поступившие в администрацию  инициативные проекты, соответствующие требованиям, установленным статьей 26</w:t>
      </w:r>
      <w:r w:rsidRPr="007553B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7553B3" w:rsidRPr="007553B3" w:rsidRDefault="007553B3" w:rsidP="007553B3">
      <w:pPr>
        <w:widowControl w:val="0"/>
        <w:tabs>
          <w:tab w:val="left" w:pos="766"/>
        </w:tabs>
        <w:spacing w:after="0" w:line="211" w:lineRule="exact"/>
        <w:ind w:left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widowControl w:val="0"/>
        <w:numPr>
          <w:ilvl w:val="1"/>
          <w:numId w:val="7"/>
        </w:numPr>
        <w:tabs>
          <w:tab w:val="left" w:pos="1254"/>
        </w:tabs>
        <w:spacing w:after="109" w:line="180" w:lineRule="exact"/>
        <w:ind w:left="9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b/>
          <w:sz w:val="24"/>
          <w:szCs w:val="24"/>
          <w:lang w:eastAsia="ru-RU"/>
        </w:rPr>
        <w:t>2. Организация и проведение конкурсного отбора</w:t>
      </w:r>
    </w:p>
    <w:p w:rsidR="007553B3" w:rsidRPr="007553B3" w:rsidRDefault="007553B3" w:rsidP="007553B3">
      <w:pPr>
        <w:widowControl w:val="0"/>
        <w:tabs>
          <w:tab w:val="left" w:pos="76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6.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 (далее - конкурсная комиссия).</w:t>
      </w:r>
    </w:p>
    <w:p w:rsidR="007553B3" w:rsidRPr="007553B3" w:rsidRDefault="007553B3" w:rsidP="007553B3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№ 2 к настоящему Решению.</w:t>
      </w:r>
    </w:p>
    <w:p w:rsidR="007553B3" w:rsidRPr="007553B3" w:rsidRDefault="007553B3" w:rsidP="007553B3">
      <w:pPr>
        <w:widowControl w:val="0"/>
        <w:numPr>
          <w:ilvl w:val="0"/>
          <w:numId w:val="16"/>
        </w:numPr>
        <w:tabs>
          <w:tab w:val="left" w:pos="7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Организатором конкурсного отбора является администрация, которая осуществляет следующие функции:</w:t>
      </w:r>
    </w:p>
    <w:p w:rsidR="007553B3" w:rsidRPr="007553B3" w:rsidRDefault="007553B3" w:rsidP="007553B3">
      <w:pPr>
        <w:widowControl w:val="0"/>
        <w:numPr>
          <w:ilvl w:val="0"/>
          <w:numId w:val="14"/>
        </w:numPr>
        <w:tabs>
          <w:tab w:val="left" w:pos="7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определяет дату, время и место проведения конкурсного отбора;</w:t>
      </w:r>
    </w:p>
    <w:p w:rsidR="007553B3" w:rsidRPr="007553B3" w:rsidRDefault="007553B3" w:rsidP="007553B3">
      <w:pPr>
        <w:widowControl w:val="0"/>
        <w:numPr>
          <w:ilvl w:val="0"/>
          <w:numId w:val="14"/>
        </w:numPr>
        <w:tabs>
          <w:tab w:val="left" w:pos="8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формирует конкурсную комиссию;</w:t>
      </w:r>
    </w:p>
    <w:p w:rsidR="007553B3" w:rsidRPr="007553B3" w:rsidRDefault="007553B3" w:rsidP="007553B3">
      <w:pPr>
        <w:widowControl w:val="0"/>
        <w:numPr>
          <w:ilvl w:val="0"/>
          <w:numId w:val="14"/>
        </w:numPr>
        <w:tabs>
          <w:tab w:val="left" w:pos="8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информирует о проведении конкурсного отбора инициаторов проекта;</w:t>
      </w:r>
    </w:p>
    <w:p w:rsidR="007553B3" w:rsidRPr="007553B3" w:rsidRDefault="007553B3" w:rsidP="007553B3">
      <w:pPr>
        <w:widowControl w:val="0"/>
        <w:numPr>
          <w:ilvl w:val="0"/>
          <w:numId w:val="14"/>
        </w:numPr>
        <w:tabs>
          <w:tab w:val="left" w:pos="774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готовит извещение о проведении конкурсного отбора, обеспечивает его опубликование в печатном органе </w:t>
      </w:r>
      <w:r w:rsidRPr="007553B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«</w:t>
      </w:r>
      <w:r w:rsidRPr="007553B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Вести»</w:t>
      </w:r>
      <w:r w:rsidRPr="007553B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размещение на официальном сайте администрации  в сети «Интернет»</w:t>
      </w:r>
      <w:r w:rsidRPr="007553B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:rsidR="007553B3" w:rsidRPr="007553B3" w:rsidRDefault="007553B3" w:rsidP="007553B3">
      <w:pPr>
        <w:widowControl w:val="0"/>
        <w:numPr>
          <w:ilvl w:val="0"/>
          <w:numId w:val="14"/>
        </w:numPr>
        <w:tabs>
          <w:tab w:val="left" w:pos="8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Передает в конкурсную комиссию инициативные проекты, поступившие в администрацию   и допущенные к конкурсному отбору, с приложением к каждому инициативному проекту следующих документов:</w:t>
      </w:r>
    </w:p>
    <w:p w:rsidR="007553B3" w:rsidRPr="007553B3" w:rsidRDefault="007553B3" w:rsidP="007553B3">
      <w:pPr>
        <w:tabs>
          <w:tab w:val="left" w:pos="740"/>
        </w:tabs>
        <w:spacing w:after="0" w:line="240" w:lineRule="auto"/>
        <w:ind w:firstLine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tab/>
        <w:t>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7553B3" w:rsidRPr="007553B3" w:rsidRDefault="007553B3" w:rsidP="007553B3">
      <w:pPr>
        <w:widowControl w:val="0"/>
        <w:tabs>
          <w:tab w:val="left" w:pos="759"/>
        </w:tabs>
        <w:spacing w:after="0" w:line="240" w:lineRule="auto"/>
        <w:ind w:firstLine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б) 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7553B3" w:rsidRPr="007553B3" w:rsidRDefault="007553B3" w:rsidP="007553B3">
      <w:pPr>
        <w:tabs>
          <w:tab w:val="left" w:pos="754"/>
        </w:tabs>
        <w:spacing w:after="0" w:line="240" w:lineRule="auto"/>
        <w:ind w:firstLine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 принять участие в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</w:t>
      </w:r>
      <w:r w:rsidRPr="007553B3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посредством</w:t>
      </w:r>
      <w:r w:rsidRPr="00755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t>трудовых ресурсов;</w:t>
      </w:r>
    </w:p>
    <w:p w:rsidR="007553B3" w:rsidRPr="007553B3" w:rsidRDefault="007553B3" w:rsidP="007553B3">
      <w:pPr>
        <w:tabs>
          <w:tab w:val="left" w:pos="818"/>
        </w:tabs>
        <w:spacing w:after="0" w:line="240" w:lineRule="auto"/>
        <w:ind w:firstLine="520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tab/>
        <w:t>Назначает дату первого заседания конкурсной комиссии;</w:t>
      </w:r>
    </w:p>
    <w:p w:rsidR="007553B3" w:rsidRPr="007553B3" w:rsidRDefault="007553B3" w:rsidP="007553B3">
      <w:pPr>
        <w:widowControl w:val="0"/>
        <w:tabs>
          <w:tab w:val="left" w:pos="750"/>
        </w:tabs>
        <w:spacing w:after="0" w:line="240" w:lineRule="auto"/>
        <w:ind w:left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7. Осуществляет техническое обеспечение деятельности конкурсной комиссии;</w:t>
      </w:r>
    </w:p>
    <w:p w:rsidR="007553B3" w:rsidRPr="007553B3" w:rsidRDefault="007553B3" w:rsidP="007553B3">
      <w:pPr>
        <w:widowControl w:val="0"/>
        <w:tabs>
          <w:tab w:val="left" w:pos="754"/>
        </w:tabs>
        <w:spacing w:after="0" w:line="240" w:lineRule="auto"/>
        <w:ind w:firstLine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8. Доводит до сведения участников конкурсного отбора о результатах конкурсного отбора.</w:t>
      </w:r>
    </w:p>
    <w:p w:rsidR="007553B3" w:rsidRPr="007553B3" w:rsidRDefault="007553B3" w:rsidP="007553B3">
      <w:pPr>
        <w:widowControl w:val="0"/>
        <w:tabs>
          <w:tab w:val="left" w:pos="730"/>
        </w:tabs>
        <w:spacing w:after="0" w:line="240" w:lineRule="auto"/>
        <w:ind w:firstLine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7553B3" w:rsidRPr="007553B3" w:rsidRDefault="007553B3" w:rsidP="007553B3">
      <w:pPr>
        <w:widowControl w:val="0"/>
        <w:tabs>
          <w:tab w:val="left" w:pos="841"/>
        </w:tabs>
        <w:spacing w:after="0" w:line="240" w:lineRule="auto"/>
        <w:ind w:firstLine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7553B3" w:rsidRPr="007553B3" w:rsidRDefault="007553B3" w:rsidP="007553B3">
      <w:pPr>
        <w:spacing w:after="0" w:line="240" w:lineRule="auto"/>
        <w:ind w:firstLine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78"/>
        </w:tabs>
        <w:spacing w:after="0" w:line="240" w:lineRule="auto"/>
        <w:ind w:firstLine="5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2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22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22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2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31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в течение 3 дней со дня проведения заседания.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31"/>
        </w:tabs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конкурсного отбора в течение 10 дней после принятия решения конкурсной комиссией доводит до сведения инициатора проекта его </w:t>
      </w:r>
      <w:r w:rsidRPr="007553B3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результаты.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2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Список инициативных проектов-победителей утверждается постановлением администрации  и размешается на сайте.</w:t>
      </w:r>
    </w:p>
    <w:p w:rsidR="007553B3" w:rsidRPr="007553B3" w:rsidRDefault="007553B3" w:rsidP="007553B3">
      <w:pPr>
        <w:widowControl w:val="0"/>
        <w:numPr>
          <w:ilvl w:val="0"/>
          <w:numId w:val="8"/>
        </w:numPr>
        <w:tabs>
          <w:tab w:val="left" w:pos="831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Заявки, документы и материалы, прошедшие конкурсный отбор, участникам конкурсного отбора не возвращаются.</w:t>
      </w:r>
    </w:p>
    <w:p w:rsidR="007553B3" w:rsidRPr="007553B3" w:rsidRDefault="007553B3" w:rsidP="007553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</w:pPr>
    </w:p>
    <w:p w:rsidR="007553B3" w:rsidRPr="007553B3" w:rsidRDefault="007553B3" w:rsidP="007553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pacing w:val="1"/>
          <w:lang w:eastAsia="ru-RU"/>
        </w:rPr>
      </w:pPr>
    </w:p>
    <w:p w:rsidR="007553B3" w:rsidRPr="007553B3" w:rsidRDefault="007553B3" w:rsidP="007553B3">
      <w:pPr>
        <w:spacing w:after="0" w:line="240" w:lineRule="auto"/>
        <w:ind w:left="3620" w:hanging="76"/>
        <w:jc w:val="right"/>
        <w:rPr>
          <w:rFonts w:ascii="Courier New" w:eastAsia="Times New Roman" w:hAnsi="Courier New" w:cs="Courier New"/>
          <w:lang w:eastAsia="ru-RU"/>
        </w:rPr>
      </w:pPr>
      <w:r w:rsidRPr="007553B3">
        <w:rPr>
          <w:rFonts w:ascii="Courier New" w:eastAsia="Times New Roman" w:hAnsi="Courier New" w:cs="Courier New"/>
          <w:lang w:eastAsia="ru-RU"/>
        </w:rPr>
        <w:t xml:space="preserve">                             Приложение </w:t>
      </w:r>
    </w:p>
    <w:p w:rsidR="007553B3" w:rsidRPr="007553B3" w:rsidRDefault="007553B3" w:rsidP="007553B3">
      <w:pPr>
        <w:spacing w:after="0" w:line="240" w:lineRule="auto"/>
        <w:ind w:left="3620" w:hanging="76"/>
        <w:jc w:val="right"/>
        <w:rPr>
          <w:rFonts w:ascii="Courier New" w:eastAsia="Times New Roman" w:hAnsi="Courier New" w:cs="Courier New"/>
          <w:lang w:eastAsia="ru-RU"/>
        </w:rPr>
      </w:pPr>
      <w:r w:rsidRPr="007553B3">
        <w:rPr>
          <w:rFonts w:ascii="Courier New" w:eastAsia="Times New Roman" w:hAnsi="Courier New" w:cs="Courier New"/>
          <w:lang w:eastAsia="ru-RU"/>
        </w:rPr>
        <w:t xml:space="preserve"> к Порядку проведения конкурсного отбора инициативных   проектов для реализации на территории, части территории  </w:t>
      </w:r>
      <w:proofErr w:type="spellStart"/>
      <w:r w:rsidRPr="007553B3">
        <w:rPr>
          <w:rFonts w:ascii="Courier New" w:eastAsia="Times New Roman" w:hAnsi="Courier New" w:cs="Courier New"/>
          <w:lang w:eastAsia="ru-RU"/>
        </w:rPr>
        <w:t>Качугского</w:t>
      </w:r>
      <w:proofErr w:type="spellEnd"/>
      <w:r w:rsidRPr="007553B3">
        <w:rPr>
          <w:rFonts w:ascii="Courier New" w:eastAsia="Times New Roman" w:hAnsi="Courier New" w:cs="Courier New"/>
          <w:lang w:eastAsia="ru-RU"/>
        </w:rPr>
        <w:t xml:space="preserve"> муниципального образования (сельского поселения)</w:t>
      </w:r>
    </w:p>
    <w:p w:rsidR="007553B3" w:rsidRPr="007553B3" w:rsidRDefault="007553B3" w:rsidP="007553B3">
      <w:pPr>
        <w:spacing w:after="0" w:line="240" w:lineRule="auto"/>
        <w:ind w:left="3620" w:firstLine="6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widowControl w:val="0"/>
        <w:spacing w:after="10" w:line="240" w:lineRule="auto"/>
        <w:ind w:right="6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bookmark14"/>
      <w:r w:rsidRPr="00755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ОЦЕНКИ</w:t>
      </w:r>
      <w:bookmarkEnd w:id="2"/>
    </w:p>
    <w:p w:rsidR="007553B3" w:rsidRPr="007553B3" w:rsidRDefault="007553B3" w:rsidP="007553B3">
      <w:pPr>
        <w:spacing w:line="240" w:lineRule="auto"/>
        <w:ind w:right="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инициативных проектов, представленных для конкурсного отбора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9"/>
        <w:gridCol w:w="4662"/>
        <w:gridCol w:w="2410"/>
        <w:gridCol w:w="2126"/>
      </w:tblGrid>
      <w:tr w:rsidR="007553B3" w:rsidRPr="007553B3" w:rsidTr="006D564D">
        <w:trPr>
          <w:trHeight w:hRule="exact" w:val="99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bidi="en-US"/>
              </w:rPr>
              <w:t>N</w:t>
            </w:r>
          </w:p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553B3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7553B3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Значения критериев</w:t>
            </w:r>
          </w:p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      конкурсного отбора</w:t>
            </w:r>
          </w:p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баллов</w:t>
            </w:r>
          </w:p>
        </w:tc>
      </w:tr>
      <w:tr w:rsidR="007553B3" w:rsidRPr="007553B3" w:rsidTr="006D564D">
        <w:trPr>
          <w:trHeight w:hRule="exact" w:val="322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20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I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</w:tr>
      <w:tr w:rsidR="007553B3" w:rsidRPr="007553B3" w:rsidTr="006D564D">
        <w:trPr>
          <w:trHeight w:hRule="exact" w:val="562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1.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3B3" w:rsidRPr="007553B3" w:rsidTr="006D564D">
        <w:trPr>
          <w:trHeight w:hRule="exact" w:val="3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ind w:left="1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Доля </w:t>
            </w:r>
            <w:proofErr w:type="spellStart"/>
            <w:r w:rsidRPr="007553B3">
              <w:rPr>
                <w:rFonts w:ascii="Arial" w:eastAsia="Times New Roman" w:hAnsi="Arial" w:cs="Arial"/>
                <w:lang w:eastAsia="ru-RU"/>
              </w:rPr>
              <w:t>благополучателей</w:t>
            </w:r>
            <w:proofErr w:type="spellEnd"/>
            <w:r w:rsidRPr="007553B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7553B3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7553B3">
              <w:rPr>
                <w:rFonts w:ascii="Arial" w:eastAsia="Times New Roman" w:hAnsi="Arial" w:cs="Arial"/>
                <w:lang w:eastAsia="ru-RU"/>
              </w:rPr>
              <w:t xml:space="preserve"> общей</w:t>
            </w:r>
          </w:p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численности населения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61 до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  <w:tr w:rsidR="007553B3" w:rsidRPr="007553B3" w:rsidTr="006D564D">
        <w:trPr>
          <w:trHeight w:hRule="exact" w:val="341"/>
        </w:trPr>
        <w:tc>
          <w:tcPr>
            <w:tcW w:w="7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31 до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7553B3" w:rsidRPr="007553B3" w:rsidTr="006D564D">
        <w:trPr>
          <w:trHeight w:hRule="exact" w:val="355"/>
        </w:trPr>
        <w:tc>
          <w:tcPr>
            <w:tcW w:w="7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20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0 до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7553B3" w:rsidRPr="007553B3" w:rsidTr="006D564D">
        <w:trPr>
          <w:trHeight w:hRule="exact" w:val="34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«Долговечность» результатов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20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более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15</w:t>
            </w:r>
          </w:p>
        </w:tc>
      </w:tr>
      <w:tr w:rsidR="007553B3" w:rsidRPr="007553B3" w:rsidTr="006D564D">
        <w:trPr>
          <w:trHeight w:hRule="exact" w:val="566"/>
        </w:trPr>
        <w:tc>
          <w:tcPr>
            <w:tcW w:w="7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1 года до 5 лег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7553B3" w:rsidRPr="007553B3" w:rsidTr="006D564D">
        <w:trPr>
          <w:trHeight w:hRule="exact" w:val="350"/>
        </w:trPr>
        <w:tc>
          <w:tcPr>
            <w:tcW w:w="7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0 до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</w:tr>
      <w:tr w:rsidR="007553B3" w:rsidRPr="007553B3" w:rsidTr="006D564D">
        <w:trPr>
          <w:trHeight w:hRule="exact" w:val="35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ind w:left="1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1.3.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Возможность содержания и эксплуатации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7553B3" w:rsidRPr="007553B3" w:rsidTr="006D564D">
        <w:trPr>
          <w:trHeight w:hRule="exact" w:val="968"/>
        </w:trPr>
        <w:tc>
          <w:tcPr>
            <w:tcW w:w="7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553B3" w:rsidRPr="007553B3" w:rsidTr="006D564D">
        <w:trPr>
          <w:trHeight w:hRule="exact" w:val="126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ind w:left="20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</w:t>
            </w:r>
            <w:proofErr w:type="gramStart"/>
            <w:r w:rsidRPr="007553B3">
              <w:rPr>
                <w:rFonts w:ascii="Arial" w:eastAsia="Times New Roman" w:hAnsi="Arial" w:cs="Arial"/>
                <w:lang w:eastAsia="ru-RU"/>
              </w:rPr>
              <w:t>е</w:t>
            </w:r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(</w:t>
            </w:r>
            <w:proofErr w:type="gramEnd"/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оцениваете» по количеству членов инициативной группы, участников собрания, поступивших в администрацию предложений и замечаний к проекту)</w:t>
            </w: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3B3" w:rsidRPr="007553B3" w:rsidTr="006D564D">
        <w:trPr>
          <w:trHeight w:hRule="exact" w:val="365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2.1.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Участие населения в определении</w:t>
            </w:r>
          </w:p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проблемы, на решение которой направлен инициативный 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</w:tr>
      <w:tr w:rsidR="007553B3" w:rsidRPr="007553B3" w:rsidTr="006D564D">
        <w:trPr>
          <w:trHeight w:hRule="exact" w:val="365"/>
        </w:trPr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0</w:t>
            </w:r>
          </w:p>
        </w:tc>
      </w:tr>
      <w:tr w:rsidR="007553B3" w:rsidRPr="007553B3" w:rsidTr="006D564D">
        <w:trPr>
          <w:trHeight w:hRule="exact" w:val="365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2.2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Участие населения в определении</w:t>
            </w:r>
          </w:p>
          <w:p w:rsidR="007553B3" w:rsidRPr="007553B3" w:rsidRDefault="007553B3" w:rsidP="00755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параметров инициативного проекта (размер, объем)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3</w:t>
            </w:r>
          </w:p>
        </w:tc>
      </w:tr>
      <w:tr w:rsidR="007553B3" w:rsidRPr="007553B3" w:rsidTr="006D564D">
        <w:trPr>
          <w:trHeight w:hRule="exact" w:val="365"/>
        </w:trPr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0</w:t>
            </w:r>
          </w:p>
        </w:tc>
      </w:tr>
      <w:tr w:rsidR="007553B3" w:rsidRPr="007553B3" w:rsidTr="006D564D">
        <w:trPr>
          <w:trHeight w:hRule="exact" w:val="365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2.3.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2</w:t>
            </w:r>
          </w:p>
        </w:tc>
      </w:tr>
      <w:tr w:rsidR="007553B3" w:rsidRPr="007553B3" w:rsidTr="006D564D">
        <w:trPr>
          <w:trHeight w:hRule="exact" w:val="365"/>
        </w:trPr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140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7553B3">
              <w:rPr>
                <w:rFonts w:ascii="Arial" w:eastAsia="Times New Roman" w:hAnsi="Arial" w:cs="Arial"/>
                <w:color w:val="000000"/>
                <w:lang w:eastAsia="ru-RU" w:bidi="ru-RU"/>
              </w:rPr>
              <w:t>0</w:t>
            </w:r>
          </w:p>
        </w:tc>
      </w:tr>
      <w:tr w:rsidR="007553B3" w:rsidRPr="007553B3" w:rsidTr="006D564D">
        <w:trPr>
          <w:trHeight w:hRule="exact" w:val="1201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ind w:left="20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Актуальность (острота)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3B3" w:rsidRPr="007553B3" w:rsidTr="006D564D">
        <w:trPr>
          <w:trHeight w:hRule="exact" w:val="96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lastRenderedPageBreak/>
              <w:t>3.1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553B3" w:rsidRPr="007553B3" w:rsidTr="006D564D">
        <w:trPr>
          <w:trHeight w:hRule="exact" w:val="1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3B3" w:rsidRPr="007553B3" w:rsidTr="006D564D">
        <w:trPr>
          <w:trHeight w:hRule="exact" w:val="77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3.2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7553B3" w:rsidRPr="007553B3" w:rsidTr="006D564D">
        <w:trPr>
          <w:trHeight w:hRule="exact" w:val="97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3.3.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очень </w:t>
            </w:r>
            <w:proofErr w:type="gramStart"/>
            <w:r w:rsidRPr="007553B3">
              <w:rPr>
                <w:rFonts w:ascii="Arial" w:eastAsia="Times New Roman" w:hAnsi="Arial" w:cs="Arial"/>
                <w:lang w:eastAsia="ru-RU"/>
              </w:rPr>
              <w:t>высокая</w:t>
            </w:r>
            <w:proofErr w:type="gramEnd"/>
            <w:r w:rsidRPr="007553B3">
              <w:rPr>
                <w:rFonts w:ascii="Arial" w:eastAsia="Times New Roman" w:hAnsi="Arial" w:cs="Arial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7553B3" w:rsidRPr="007553B3" w:rsidTr="006D564D">
        <w:trPr>
          <w:trHeight w:hRule="exact" w:val="77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ind w:left="20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3B3" w:rsidRPr="007553B3" w:rsidTr="006D564D">
        <w:trPr>
          <w:trHeight w:hRule="exact" w:val="59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4.1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не предусматривается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553B3" w:rsidRPr="007553B3" w:rsidTr="006D564D">
        <w:trPr>
          <w:trHeight w:hRule="exact" w:val="142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4.2.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7553B3" w:rsidRPr="007553B3" w:rsidTr="006D564D">
        <w:trPr>
          <w:trHeight w:hRule="exact" w:val="1402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4.3.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7553B3" w:rsidRPr="007553B3" w:rsidTr="006D564D">
        <w:trPr>
          <w:trHeight w:val="75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20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3B3" w:rsidRPr="007553B3" w:rsidTr="006D564D">
        <w:trPr>
          <w:trHeight w:hRule="exact" w:val="5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5.1.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Уровень </w:t>
            </w:r>
            <w:proofErr w:type="spellStart"/>
            <w:r w:rsidRPr="007553B3">
              <w:rPr>
                <w:rFonts w:ascii="Arial" w:eastAsia="Times New Roman" w:hAnsi="Arial" w:cs="Arial"/>
                <w:lang w:eastAsia="ru-RU"/>
              </w:rPr>
              <w:t>софииансирования</w:t>
            </w:r>
            <w:proofErr w:type="spellEnd"/>
            <w:r w:rsidRPr="007553B3">
              <w:rPr>
                <w:rFonts w:ascii="Arial" w:eastAsia="Times New Roman" w:hAnsi="Arial" w:cs="Arial"/>
                <w:lang w:eastAsia="ru-RU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3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5% и свыше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7553B3" w:rsidRPr="007553B3" w:rsidTr="006D564D">
        <w:trPr>
          <w:trHeight w:hRule="exact" w:val="34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3% до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553B3" w:rsidRPr="007553B3" w:rsidTr="006D564D">
        <w:trPr>
          <w:trHeight w:hRule="exact" w:val="350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до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7553B3" w:rsidRPr="007553B3" w:rsidTr="006D564D">
        <w:trPr>
          <w:trHeight w:hRule="exact" w:val="5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5.2.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Уровень </w:t>
            </w:r>
            <w:proofErr w:type="spellStart"/>
            <w:r w:rsidRPr="007553B3">
              <w:rPr>
                <w:rFonts w:ascii="Arial" w:eastAsia="Times New Roman" w:hAnsi="Arial" w:cs="Arial"/>
                <w:lang w:eastAsia="ru-RU"/>
              </w:rPr>
              <w:t>софинансирования</w:t>
            </w:r>
            <w:proofErr w:type="spellEnd"/>
            <w:r w:rsidRPr="007553B3">
              <w:rPr>
                <w:rFonts w:ascii="Arial" w:eastAsia="Times New Roman" w:hAnsi="Arial" w:cs="Arial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3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1% и свыше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7553B3" w:rsidRPr="007553B3" w:rsidTr="006D564D">
        <w:trPr>
          <w:trHeight w:hRule="exact" w:val="346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0,5% до 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7553B3" w:rsidRPr="007553B3" w:rsidTr="006D564D">
        <w:trPr>
          <w:trHeight w:hRule="exact" w:val="355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553B3" w:rsidRPr="007553B3" w:rsidTr="006D564D">
        <w:trPr>
          <w:trHeight w:hRule="exact" w:val="5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5.3.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Уровень </w:t>
            </w:r>
            <w:proofErr w:type="spellStart"/>
            <w:r w:rsidRPr="007553B3">
              <w:rPr>
                <w:rFonts w:ascii="Arial" w:eastAsia="Times New Roman" w:hAnsi="Arial" w:cs="Arial"/>
                <w:lang w:eastAsia="ru-RU"/>
              </w:rPr>
              <w:t>софииансирования</w:t>
            </w:r>
            <w:proofErr w:type="spellEnd"/>
            <w:r w:rsidRPr="007553B3">
              <w:rPr>
                <w:rFonts w:ascii="Arial" w:eastAsia="Times New Roman" w:hAnsi="Arial" w:cs="Arial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ind w:left="340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1% и свыше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553B3" w:rsidRPr="007553B3" w:rsidTr="006D564D">
        <w:trPr>
          <w:trHeight w:hRule="exact" w:val="350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от 0,5% до 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7553B3" w:rsidRPr="007553B3" w:rsidTr="006D564D">
        <w:trPr>
          <w:trHeight w:hRule="exact" w:val="350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553B3" w:rsidRPr="007553B3" w:rsidTr="006D564D">
        <w:trPr>
          <w:trHeight w:hRule="exact" w:val="35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5.4.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7553B3">
              <w:rPr>
                <w:rFonts w:ascii="Arial" w:eastAsia="Times New Roman" w:hAnsi="Arial" w:cs="Arial"/>
                <w:lang w:eastAsia="ru-RU"/>
              </w:rPr>
              <w:t>неденежной</w:t>
            </w:r>
            <w:proofErr w:type="spellEnd"/>
            <w:r w:rsidRPr="007553B3">
              <w:rPr>
                <w:rFonts w:ascii="Arial" w:eastAsia="Times New Roman" w:hAnsi="Arial" w:cs="Arial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   предусматривает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553B3" w:rsidRPr="007553B3" w:rsidTr="006D564D">
        <w:trPr>
          <w:trHeight w:hRule="exact" w:val="494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не предусматривает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553B3" w:rsidRPr="007553B3" w:rsidTr="006D564D">
        <w:trPr>
          <w:trHeight w:hRule="exact" w:val="3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5.5.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7553B3">
              <w:rPr>
                <w:rFonts w:ascii="Arial" w:eastAsia="Times New Roman" w:hAnsi="Arial" w:cs="Arial"/>
                <w:lang w:eastAsia="ru-RU"/>
              </w:rPr>
              <w:t>неденежной</w:t>
            </w:r>
            <w:proofErr w:type="spellEnd"/>
            <w:r w:rsidRPr="007553B3">
              <w:rPr>
                <w:rFonts w:ascii="Arial" w:eastAsia="Times New Roman" w:hAnsi="Arial" w:cs="Arial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Candara" w:hAnsi="Arial" w:cs="Arial"/>
                <w:color w:val="000000"/>
                <w:sz w:val="14"/>
                <w:szCs w:val="14"/>
                <w:lang w:eastAsia="ru-RU" w:bidi="ru-RU"/>
              </w:rPr>
              <w:t xml:space="preserve">      </w:t>
            </w:r>
            <w:r w:rsidRPr="007553B3">
              <w:rPr>
                <w:rFonts w:ascii="Arial" w:eastAsia="Times New Roman" w:hAnsi="Arial" w:cs="Arial"/>
                <w:lang w:eastAsia="ru-RU"/>
              </w:rPr>
              <w:t>предусматривает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553B3" w:rsidRPr="007553B3" w:rsidTr="006D564D">
        <w:trPr>
          <w:trHeight w:hRule="exact" w:val="65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3B3" w:rsidRPr="007553B3" w:rsidRDefault="007553B3" w:rsidP="007553B3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не предусматривает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3B3" w:rsidRPr="007553B3" w:rsidRDefault="007553B3" w:rsidP="007553B3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3B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7553B3" w:rsidRPr="007553B3" w:rsidRDefault="007553B3" w:rsidP="007553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spacing w:val="1"/>
          <w:lang w:eastAsia="ru-RU"/>
        </w:rPr>
      </w:pPr>
    </w:p>
    <w:p w:rsidR="007553B3" w:rsidRPr="007553B3" w:rsidRDefault="007553B3" w:rsidP="007553B3">
      <w:pPr>
        <w:ind w:firstLine="708"/>
        <w:rPr>
          <w:rFonts w:ascii="Arial" w:eastAsia="Times New Roman" w:hAnsi="Arial" w:cs="Arial"/>
          <w:lang w:eastAsia="ru-RU"/>
        </w:rPr>
      </w:pPr>
    </w:p>
    <w:p w:rsidR="007553B3" w:rsidRPr="007553B3" w:rsidRDefault="007553B3" w:rsidP="007553B3">
      <w:pPr>
        <w:autoSpaceDE w:val="0"/>
        <w:autoSpaceDN w:val="0"/>
        <w:adjustRightInd w:val="0"/>
        <w:spacing w:after="0" w:line="240" w:lineRule="auto"/>
        <w:ind w:left="5954"/>
        <w:rPr>
          <w:rFonts w:ascii="Courier New" w:eastAsia="Times New Roman" w:hAnsi="Courier New" w:cs="Courier New"/>
          <w:color w:val="FF0000"/>
          <w:lang w:eastAsia="ru-RU"/>
        </w:rPr>
      </w:pPr>
      <w:r w:rsidRPr="007553B3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№2                                                                 к решению Думы </w:t>
      </w:r>
      <w:proofErr w:type="spellStart"/>
      <w:r w:rsidRPr="007553B3">
        <w:rPr>
          <w:rFonts w:ascii="Courier New" w:eastAsia="Times New Roman" w:hAnsi="Courier New" w:cs="Courier New"/>
          <w:lang w:eastAsia="ru-RU"/>
        </w:rPr>
        <w:t>Качугского</w:t>
      </w:r>
      <w:proofErr w:type="spellEnd"/>
      <w:r w:rsidRPr="007553B3">
        <w:rPr>
          <w:rFonts w:ascii="Courier New" w:eastAsia="Times New Roman" w:hAnsi="Courier New" w:cs="Courier New"/>
          <w:lang w:eastAsia="ru-RU"/>
        </w:rPr>
        <w:t xml:space="preserve"> сельского поселения                                                      от 00.00.0000 № </w:t>
      </w:r>
    </w:p>
    <w:p w:rsidR="007553B3" w:rsidRPr="007553B3" w:rsidRDefault="007553B3" w:rsidP="007553B3">
      <w:pPr>
        <w:spacing w:after="0" w:line="240" w:lineRule="auto"/>
        <w:ind w:right="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53B3" w:rsidRPr="007553B3" w:rsidRDefault="007553B3" w:rsidP="007553B3">
      <w:pPr>
        <w:spacing w:after="0" w:line="240" w:lineRule="auto"/>
        <w:ind w:right="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7553B3" w:rsidRPr="007553B3" w:rsidRDefault="007553B3" w:rsidP="007553B3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конкурсной комиссии по организации и проведению конкурсного</w:t>
      </w:r>
      <w:r w:rsidRPr="00755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отбора инициативных проектов</w:t>
      </w:r>
    </w:p>
    <w:p w:rsidR="007553B3" w:rsidRPr="007553B3" w:rsidRDefault="007553B3" w:rsidP="007553B3">
      <w:pPr>
        <w:widowControl w:val="0"/>
        <w:spacing w:after="0" w:line="211" w:lineRule="exact"/>
        <w:ind w:right="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53B3" w:rsidRPr="007553B3" w:rsidRDefault="007553B3" w:rsidP="007553B3">
      <w:pPr>
        <w:widowControl w:val="0"/>
        <w:numPr>
          <w:ilvl w:val="0"/>
          <w:numId w:val="9"/>
        </w:numPr>
        <w:tabs>
          <w:tab w:val="left" w:pos="2515"/>
        </w:tabs>
        <w:spacing w:after="174" w:line="240" w:lineRule="auto"/>
        <w:ind w:left="22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55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</w:t>
      </w:r>
      <w:proofErr w:type="gramEnd"/>
      <w:r w:rsidRPr="00755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положений</w:t>
      </w:r>
    </w:p>
    <w:p w:rsidR="007553B3" w:rsidRPr="007553B3" w:rsidRDefault="007553B3" w:rsidP="007553B3">
      <w:pPr>
        <w:widowControl w:val="0"/>
        <w:numPr>
          <w:ilvl w:val="1"/>
          <w:numId w:val="9"/>
        </w:numPr>
        <w:tabs>
          <w:tab w:val="left" w:pos="759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- конкурсная комиссия, комиссия).</w:t>
      </w:r>
    </w:p>
    <w:p w:rsidR="007553B3" w:rsidRPr="007553B3" w:rsidRDefault="007553B3" w:rsidP="007553B3">
      <w:pPr>
        <w:widowControl w:val="0"/>
        <w:numPr>
          <w:ilvl w:val="1"/>
          <w:numId w:val="9"/>
        </w:numPr>
        <w:tabs>
          <w:tab w:val="left" w:pos="759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осуществляет свою деятельность на основе Конституции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 (далее - Порядок проведения конкурсного отбора) и настоящего Положения.</w:t>
      </w:r>
    </w:p>
    <w:p w:rsidR="007553B3" w:rsidRPr="007553B3" w:rsidRDefault="007553B3" w:rsidP="007553B3">
      <w:pPr>
        <w:widowControl w:val="0"/>
        <w:numPr>
          <w:ilvl w:val="1"/>
          <w:numId w:val="9"/>
        </w:numPr>
        <w:tabs>
          <w:tab w:val="left" w:pos="814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формируется администрацией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(далее-администрация).</w:t>
      </w:r>
    </w:p>
    <w:p w:rsidR="007553B3" w:rsidRPr="007553B3" w:rsidRDefault="007553B3" w:rsidP="007553B3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7553B3" w:rsidRPr="007553B3" w:rsidRDefault="007553B3" w:rsidP="007553B3">
      <w:pPr>
        <w:widowControl w:val="0"/>
        <w:numPr>
          <w:ilvl w:val="1"/>
          <w:numId w:val="9"/>
        </w:numPr>
        <w:tabs>
          <w:tab w:val="left" w:pos="774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Состав конкурсной комиссии утверждается распоряжением администрации.</w:t>
      </w:r>
    </w:p>
    <w:p w:rsidR="007553B3" w:rsidRPr="007553B3" w:rsidRDefault="007553B3" w:rsidP="007553B3">
      <w:pPr>
        <w:widowControl w:val="0"/>
        <w:tabs>
          <w:tab w:val="left" w:pos="774"/>
        </w:tabs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widowControl w:val="0"/>
        <w:numPr>
          <w:ilvl w:val="0"/>
          <w:numId w:val="9"/>
        </w:numPr>
        <w:tabs>
          <w:tab w:val="left" w:pos="1719"/>
        </w:tabs>
        <w:spacing w:after="124" w:line="240" w:lineRule="auto"/>
        <w:ind w:left="980" w:firstLine="4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задачи, функции и права конкурсной комиссии</w:t>
      </w:r>
    </w:p>
    <w:p w:rsidR="007553B3" w:rsidRPr="007553B3" w:rsidRDefault="007553B3" w:rsidP="007553B3">
      <w:pPr>
        <w:widowControl w:val="0"/>
        <w:numPr>
          <w:ilvl w:val="1"/>
          <w:numId w:val="9"/>
        </w:numPr>
        <w:tabs>
          <w:tab w:val="left" w:pos="769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задачей конкурсной комиссии является определение лучшего, из числа </w:t>
      </w:r>
      <w:proofErr w:type="gram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proofErr w:type="gram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на конкурсный отбор, инициативного проекта для реализации на территории, части территории 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поселения).</w:t>
      </w:r>
    </w:p>
    <w:p w:rsidR="007553B3" w:rsidRPr="007553B3" w:rsidRDefault="007553B3" w:rsidP="007553B3">
      <w:pPr>
        <w:widowControl w:val="0"/>
        <w:numPr>
          <w:ilvl w:val="1"/>
          <w:numId w:val="9"/>
        </w:numPr>
        <w:tabs>
          <w:tab w:val="left" w:pos="834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Основными функциями конкурсной комиссии являются:</w:t>
      </w:r>
    </w:p>
    <w:p w:rsidR="007553B3" w:rsidRPr="007553B3" w:rsidRDefault="007553B3" w:rsidP="007553B3">
      <w:pPr>
        <w:widowControl w:val="0"/>
        <w:numPr>
          <w:ilvl w:val="0"/>
          <w:numId w:val="13"/>
        </w:numPr>
        <w:tabs>
          <w:tab w:val="left" w:pos="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размещение информации о ходе проведения конкурсном отборе на официальном сайте администрации  в сети «Интернет»;</w:t>
      </w:r>
    </w:p>
    <w:p w:rsidR="007553B3" w:rsidRPr="007553B3" w:rsidRDefault="007553B3" w:rsidP="007553B3">
      <w:pPr>
        <w:widowControl w:val="0"/>
        <w:numPr>
          <w:ilvl w:val="0"/>
          <w:numId w:val="13"/>
        </w:numPr>
        <w:tabs>
          <w:tab w:val="left" w:pos="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информирование администрации и инициаторов проектов по вопросам организации и проведения конкурсного отбора;</w:t>
      </w:r>
    </w:p>
    <w:p w:rsidR="007553B3" w:rsidRPr="007553B3" w:rsidRDefault="007553B3" w:rsidP="007553B3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рассмотрение и оценка поступивших инициативных проектов;</w:t>
      </w:r>
    </w:p>
    <w:p w:rsidR="007553B3" w:rsidRPr="007553B3" w:rsidRDefault="007553B3" w:rsidP="007553B3">
      <w:pPr>
        <w:widowControl w:val="0"/>
        <w:numPr>
          <w:ilvl w:val="0"/>
          <w:numId w:val="13"/>
        </w:numPr>
        <w:tabs>
          <w:tab w:val="left" w:pos="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формирование перечня прошедших конкурсный отбор проектов, набравших наибольшее количество баллов;</w:t>
      </w:r>
    </w:p>
    <w:p w:rsidR="007553B3" w:rsidRPr="007553B3" w:rsidRDefault="007553B3" w:rsidP="007553B3">
      <w:pPr>
        <w:widowControl w:val="0"/>
        <w:numPr>
          <w:ilvl w:val="0"/>
          <w:numId w:val="13"/>
        </w:numPr>
        <w:tabs>
          <w:tab w:val="left" w:pos="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решение иных вопросов при организации и проведении конкурсного отбора.</w:t>
      </w:r>
    </w:p>
    <w:p w:rsidR="007553B3" w:rsidRPr="007553B3" w:rsidRDefault="007553B3" w:rsidP="007553B3">
      <w:pPr>
        <w:widowControl w:val="0"/>
        <w:tabs>
          <w:tab w:val="left" w:pos="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      2.3. Для решения возложенных на конкурсную комиссию функций она имеет право:</w:t>
      </w:r>
    </w:p>
    <w:p w:rsidR="007553B3" w:rsidRPr="007553B3" w:rsidRDefault="007553B3" w:rsidP="007553B3">
      <w:pPr>
        <w:widowControl w:val="0"/>
        <w:numPr>
          <w:ilvl w:val="0"/>
          <w:numId w:val="17"/>
        </w:numPr>
        <w:tabs>
          <w:tab w:val="left" w:pos="639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запрашивать в установленном порядке и получать от администрации, инициаторов проектов информацию по вопросам, относящимся к компетенции конкурсной комиссии;</w:t>
      </w:r>
    </w:p>
    <w:p w:rsidR="007553B3" w:rsidRPr="007553B3" w:rsidRDefault="007553B3" w:rsidP="007553B3">
      <w:pPr>
        <w:widowControl w:val="0"/>
        <w:numPr>
          <w:ilvl w:val="0"/>
          <w:numId w:val="17"/>
        </w:numPr>
        <w:tabs>
          <w:tab w:val="left" w:pos="639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привлекать специалистов для проведения ими экспертизы представленных документов.</w:t>
      </w:r>
    </w:p>
    <w:p w:rsidR="007553B3" w:rsidRPr="007553B3" w:rsidRDefault="007553B3" w:rsidP="007553B3">
      <w:pPr>
        <w:widowControl w:val="0"/>
        <w:tabs>
          <w:tab w:val="left" w:pos="639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widowControl w:val="0"/>
        <w:tabs>
          <w:tab w:val="left" w:pos="644"/>
        </w:tabs>
        <w:spacing w:after="201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53B3" w:rsidRPr="007553B3" w:rsidRDefault="007553B3" w:rsidP="007553B3">
      <w:pPr>
        <w:widowControl w:val="0"/>
        <w:numPr>
          <w:ilvl w:val="0"/>
          <w:numId w:val="10"/>
        </w:numPr>
        <w:tabs>
          <w:tab w:val="left" w:pos="1685"/>
        </w:tabs>
        <w:spacing w:after="100" w:line="240" w:lineRule="auto"/>
        <w:ind w:left="14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работы конкурсной комиссии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tabs>
          <w:tab w:val="left" w:pos="759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tabs>
          <w:tab w:val="left" w:pos="840"/>
        </w:tabs>
        <w:spacing w:after="0" w:line="240" w:lineRule="auto"/>
        <w:ind w:firstLine="4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конкурсной комиссии:</w:t>
      </w:r>
    </w:p>
    <w:p w:rsidR="007553B3" w:rsidRPr="007553B3" w:rsidRDefault="007553B3" w:rsidP="007553B3">
      <w:pPr>
        <w:widowControl w:val="0"/>
        <w:numPr>
          <w:ilvl w:val="0"/>
          <w:numId w:val="11"/>
        </w:numPr>
        <w:tabs>
          <w:tab w:val="left" w:pos="6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осуществляет общее руководство работой конкурсной комиссии;</w:t>
      </w:r>
    </w:p>
    <w:p w:rsidR="007553B3" w:rsidRPr="007553B3" w:rsidRDefault="007553B3" w:rsidP="007553B3">
      <w:pPr>
        <w:widowControl w:val="0"/>
        <w:numPr>
          <w:ilvl w:val="0"/>
          <w:numId w:val="11"/>
        </w:numPr>
        <w:tabs>
          <w:tab w:val="left" w:pos="7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ведет заседание конкурсной комиссии;</w:t>
      </w:r>
    </w:p>
    <w:p w:rsidR="007553B3" w:rsidRPr="007553B3" w:rsidRDefault="007553B3" w:rsidP="007553B3">
      <w:pPr>
        <w:widowControl w:val="0"/>
        <w:numPr>
          <w:ilvl w:val="0"/>
          <w:numId w:val="11"/>
        </w:numPr>
        <w:tabs>
          <w:tab w:val="left" w:pos="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определяет дату, время и место проведения заседания конкурсной комиссии, утверждает повестку дня;</w:t>
      </w:r>
    </w:p>
    <w:p w:rsidR="007553B3" w:rsidRPr="007553B3" w:rsidRDefault="007553B3" w:rsidP="007553B3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подписывает протокол заседания конкурсной комиссии.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tabs>
          <w:tab w:val="left" w:pos="764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tabs>
          <w:tab w:val="left" w:pos="840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Секретарь конкурсной комиссии:</w:t>
      </w:r>
    </w:p>
    <w:p w:rsidR="007553B3" w:rsidRPr="007553B3" w:rsidRDefault="007553B3" w:rsidP="007553B3">
      <w:pPr>
        <w:widowControl w:val="0"/>
        <w:numPr>
          <w:ilvl w:val="0"/>
          <w:numId w:val="12"/>
        </w:numPr>
        <w:tabs>
          <w:tab w:val="left" w:pos="680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организует проведение заседания конкурсной комиссии;</w:t>
      </w:r>
    </w:p>
    <w:p w:rsidR="007553B3" w:rsidRPr="007553B3" w:rsidRDefault="007553B3" w:rsidP="007553B3">
      <w:pPr>
        <w:widowControl w:val="0"/>
        <w:numPr>
          <w:ilvl w:val="0"/>
          <w:numId w:val="12"/>
        </w:numPr>
        <w:tabs>
          <w:tab w:val="left" w:pos="644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информирует членов комиссии об очередном заседании конкурсной комиссии;</w:t>
      </w:r>
    </w:p>
    <w:p w:rsidR="007553B3" w:rsidRPr="007553B3" w:rsidRDefault="007553B3" w:rsidP="007553B3">
      <w:pPr>
        <w:widowControl w:val="0"/>
        <w:numPr>
          <w:ilvl w:val="0"/>
          <w:numId w:val="12"/>
        </w:numPr>
        <w:tabs>
          <w:tab w:val="left" w:pos="644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готовит проекты повестки дня очередного заседания конкурсной комиссии;</w:t>
      </w:r>
    </w:p>
    <w:p w:rsidR="007553B3" w:rsidRPr="007553B3" w:rsidRDefault="007553B3" w:rsidP="007553B3">
      <w:pPr>
        <w:widowControl w:val="0"/>
        <w:numPr>
          <w:ilvl w:val="0"/>
          <w:numId w:val="12"/>
        </w:numPr>
        <w:tabs>
          <w:tab w:val="left" w:pos="714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ведет протокол заседания конкурсной комиссии;</w:t>
      </w:r>
    </w:p>
    <w:p w:rsidR="007553B3" w:rsidRPr="007553B3" w:rsidRDefault="007553B3" w:rsidP="007553B3">
      <w:pPr>
        <w:widowControl w:val="0"/>
        <w:numPr>
          <w:ilvl w:val="0"/>
          <w:numId w:val="12"/>
        </w:numPr>
        <w:tabs>
          <w:tab w:val="left" w:pos="649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комиссии.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tabs>
          <w:tab w:val="left" w:pos="759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tabs>
          <w:tab w:val="left" w:pos="840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tabs>
          <w:tab w:val="left" w:pos="754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tabs>
          <w:tab w:val="left" w:pos="840"/>
        </w:tabs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7553B3" w:rsidRPr="007553B3" w:rsidRDefault="007553B3" w:rsidP="007553B3">
      <w:pPr>
        <w:widowControl w:val="0"/>
        <w:numPr>
          <w:ilvl w:val="1"/>
          <w:numId w:val="10"/>
        </w:numPr>
        <w:spacing w:after="0" w:line="240" w:lineRule="auto"/>
        <w:ind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3B3">
        <w:rPr>
          <w:rFonts w:ascii="Arial" w:eastAsia="Times New Roman" w:hAnsi="Arial" w:cs="Arial"/>
          <w:sz w:val="24"/>
          <w:szCs w:val="24"/>
          <w:lang w:eastAsia="ru-RU"/>
        </w:rPr>
        <w:t>Решение конкурсной 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7553B3" w:rsidRPr="007553B3" w:rsidRDefault="007553B3" w:rsidP="007553B3">
      <w:pPr>
        <w:numPr>
          <w:ilvl w:val="1"/>
          <w:numId w:val="10"/>
        </w:numPr>
        <w:tabs>
          <w:tab w:val="left" w:pos="851"/>
        </w:tabs>
        <w:spacing w:line="240" w:lineRule="auto"/>
        <w:ind w:firstLine="40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53B3">
        <w:rPr>
          <w:rFonts w:ascii="Arial" w:eastAsia="Times New Roman" w:hAnsi="Arial" w:cs="Arial"/>
          <w:sz w:val="24"/>
          <w:szCs w:val="24"/>
          <w:lang w:val="en-US" w:bidi="en-US"/>
        </w:rPr>
        <w:t>Op</w:t>
      </w:r>
      <w:proofErr w:type="spellStart"/>
      <w:r w:rsidRPr="007553B3">
        <w:rPr>
          <w:rFonts w:ascii="Arial" w:eastAsia="Times New Roman" w:hAnsi="Arial" w:cs="Arial"/>
          <w:sz w:val="24"/>
          <w:szCs w:val="24"/>
          <w:lang w:bidi="en-US"/>
        </w:rPr>
        <w:t>г</w:t>
      </w:r>
      <w:r w:rsidRPr="007553B3">
        <w:rPr>
          <w:rFonts w:ascii="Arial" w:eastAsia="Times New Roman" w:hAnsi="Arial" w:cs="Arial"/>
          <w:sz w:val="24"/>
          <w:szCs w:val="24"/>
          <w:lang w:eastAsia="ru-RU"/>
        </w:rPr>
        <w:t>анизационно</w:t>
      </w:r>
      <w:proofErr w:type="spell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 -</w:t>
      </w:r>
      <w:proofErr w:type="gramEnd"/>
      <w:r w:rsidRPr="007553B3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техническое обеспечение деятельности, организацию и ведение делопроизводства конкурсной комиссии осуществляет администрация.</w:t>
      </w:r>
    </w:p>
    <w:p w:rsidR="007553B3" w:rsidRPr="00B74897" w:rsidRDefault="007553B3">
      <w:pPr>
        <w:rPr>
          <w:rFonts w:ascii="Arial" w:hAnsi="Arial" w:cs="Arial"/>
          <w:sz w:val="24"/>
          <w:szCs w:val="24"/>
        </w:rPr>
      </w:pPr>
    </w:p>
    <w:sectPr w:rsidR="007553B3" w:rsidRPr="00B7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043"/>
    <w:multiLevelType w:val="multilevel"/>
    <w:tmpl w:val="E50E0AE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41C94"/>
    <w:multiLevelType w:val="multilevel"/>
    <w:tmpl w:val="3BA0D658"/>
    <w:lvl w:ilvl="0">
      <w:start w:val="1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02283"/>
    <w:multiLevelType w:val="hybridMultilevel"/>
    <w:tmpl w:val="7DE436C0"/>
    <w:lvl w:ilvl="0" w:tplc="9C168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603ED"/>
    <w:multiLevelType w:val="multilevel"/>
    <w:tmpl w:val="069600F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F4AB4"/>
    <w:multiLevelType w:val="multilevel"/>
    <w:tmpl w:val="308CC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0160E"/>
    <w:multiLevelType w:val="hybridMultilevel"/>
    <w:tmpl w:val="6EF898CA"/>
    <w:lvl w:ilvl="0" w:tplc="5C30F5E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EC1D95"/>
    <w:multiLevelType w:val="hybridMultilevel"/>
    <w:tmpl w:val="A5261DD8"/>
    <w:lvl w:ilvl="0" w:tplc="91BAFF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AA5AAE"/>
    <w:multiLevelType w:val="multilevel"/>
    <w:tmpl w:val="457AD7D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F1AC3"/>
    <w:multiLevelType w:val="hybridMultilevel"/>
    <w:tmpl w:val="59126F18"/>
    <w:lvl w:ilvl="0" w:tplc="81507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7490E"/>
    <w:multiLevelType w:val="multilevel"/>
    <w:tmpl w:val="610464CE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86E80"/>
    <w:multiLevelType w:val="hybridMultilevel"/>
    <w:tmpl w:val="1070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5922"/>
    <w:multiLevelType w:val="multilevel"/>
    <w:tmpl w:val="D59C5D5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A4EA9"/>
    <w:multiLevelType w:val="hybridMultilevel"/>
    <w:tmpl w:val="707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34886"/>
    <w:multiLevelType w:val="hybridMultilevel"/>
    <w:tmpl w:val="6FEC29B2"/>
    <w:lvl w:ilvl="0" w:tplc="F5066BB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C54846"/>
    <w:multiLevelType w:val="hybridMultilevel"/>
    <w:tmpl w:val="F4EC87AC"/>
    <w:lvl w:ilvl="0" w:tplc="6DFA882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1381B"/>
    <w:multiLevelType w:val="multilevel"/>
    <w:tmpl w:val="5AEA539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583BB7"/>
    <w:multiLevelType w:val="hybridMultilevel"/>
    <w:tmpl w:val="D682B19C"/>
    <w:lvl w:ilvl="0" w:tplc="9CCA86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6"/>
    <w:rsid w:val="00094173"/>
    <w:rsid w:val="00150CD2"/>
    <w:rsid w:val="001D4631"/>
    <w:rsid w:val="00233CFD"/>
    <w:rsid w:val="00294DBF"/>
    <w:rsid w:val="00394025"/>
    <w:rsid w:val="004B626B"/>
    <w:rsid w:val="004E03E3"/>
    <w:rsid w:val="00740C57"/>
    <w:rsid w:val="0074567C"/>
    <w:rsid w:val="007553B3"/>
    <w:rsid w:val="007C2891"/>
    <w:rsid w:val="00827266"/>
    <w:rsid w:val="009249CC"/>
    <w:rsid w:val="00970EBE"/>
    <w:rsid w:val="00A91311"/>
    <w:rsid w:val="00AB71FE"/>
    <w:rsid w:val="00B74897"/>
    <w:rsid w:val="00BC4EB0"/>
    <w:rsid w:val="00BF51C4"/>
    <w:rsid w:val="00E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2021-05-25T07:16:00Z</dcterms:created>
  <dcterms:modified xsi:type="dcterms:W3CDTF">2021-11-25T08:22:00Z</dcterms:modified>
</cp:coreProperties>
</file>